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6F" w:rsidRDefault="001D6F6F" w:rsidP="00961523">
      <w:pPr>
        <w:spacing w:line="360" w:lineRule="auto"/>
        <w:jc w:val="center"/>
        <w:rPr>
          <w:b/>
          <w:bCs/>
        </w:rPr>
      </w:pPr>
    </w:p>
    <w:p w:rsidR="001D6F6F" w:rsidRDefault="001D6F6F" w:rsidP="00961523">
      <w:pPr>
        <w:spacing w:line="360" w:lineRule="auto"/>
        <w:jc w:val="center"/>
        <w:rPr>
          <w:b/>
          <w:bCs/>
        </w:rPr>
      </w:pPr>
      <w:r w:rsidRPr="00961523">
        <w:rPr>
          <w:b/>
          <w:bCs/>
        </w:rPr>
        <w:t xml:space="preserve">2019. gada 22. martā LR Tieslietu ministrijā </w:t>
      </w:r>
    </w:p>
    <w:p w:rsidR="001D6F6F" w:rsidRDefault="001D6F6F" w:rsidP="00961523">
      <w:pPr>
        <w:spacing w:line="360" w:lineRule="auto"/>
        <w:jc w:val="center"/>
        <w:rPr>
          <w:b/>
          <w:bCs/>
        </w:rPr>
      </w:pPr>
      <w:r w:rsidRPr="00961523">
        <w:rPr>
          <w:b/>
          <w:bCs/>
        </w:rPr>
        <w:t xml:space="preserve">tika </w:t>
      </w:r>
      <w:r>
        <w:rPr>
          <w:b/>
          <w:bCs/>
        </w:rPr>
        <w:t>no</w:t>
      </w:r>
      <w:r w:rsidRPr="00961523">
        <w:rPr>
          <w:b/>
          <w:bCs/>
        </w:rPr>
        <w:t>organizēta starptautiska konference</w:t>
      </w:r>
    </w:p>
    <w:p w:rsidR="001D6F6F" w:rsidRPr="00961523" w:rsidRDefault="001D6F6F" w:rsidP="00961523">
      <w:pPr>
        <w:spacing w:line="360" w:lineRule="auto"/>
        <w:jc w:val="center"/>
        <w:rPr>
          <w:b/>
          <w:bCs/>
          <w:color w:val="DE0000"/>
          <w:sz w:val="26"/>
          <w:szCs w:val="26"/>
        </w:rPr>
      </w:pPr>
      <w:r w:rsidRPr="00961523">
        <w:rPr>
          <w:b/>
          <w:bCs/>
        </w:rPr>
        <w:t xml:space="preserve"> </w:t>
      </w:r>
      <w:r w:rsidRPr="00961523">
        <w:rPr>
          <w:b/>
          <w:bCs/>
          <w:color w:val="DE0000"/>
          <w:sz w:val="26"/>
          <w:szCs w:val="26"/>
        </w:rPr>
        <w:t>„</w:t>
      </w:r>
      <w:r w:rsidRPr="00961523">
        <w:rPr>
          <w:b/>
          <w:bCs/>
          <w:caps/>
          <w:color w:val="DE0000"/>
          <w:sz w:val="26"/>
          <w:szCs w:val="26"/>
        </w:rPr>
        <w:t>Apzinātie PSRS okupācijas REŽĪMA nodarītie zaudējumi</w:t>
      </w:r>
      <w:r w:rsidRPr="00961523">
        <w:rPr>
          <w:b/>
          <w:bCs/>
          <w:color w:val="DE0000"/>
          <w:sz w:val="26"/>
          <w:szCs w:val="26"/>
        </w:rPr>
        <w:t>”</w:t>
      </w:r>
    </w:p>
    <w:p w:rsidR="001D6F6F" w:rsidRDefault="001D6F6F">
      <w:pPr>
        <w:rPr>
          <w:b/>
          <w:bCs/>
          <w:sz w:val="28"/>
          <w:szCs w:val="28"/>
        </w:rPr>
      </w:pPr>
    </w:p>
    <w:p w:rsidR="001D6F6F" w:rsidRPr="006025DA" w:rsidRDefault="001D6F6F">
      <w:pPr>
        <w:rPr>
          <w:b/>
          <w:bCs/>
          <w:sz w:val="28"/>
          <w:szCs w:val="28"/>
        </w:rPr>
      </w:pPr>
      <w:r w:rsidRPr="006025DA">
        <w:rPr>
          <w:b/>
          <w:bCs/>
          <w:sz w:val="28"/>
          <w:szCs w:val="28"/>
        </w:rPr>
        <w:t>Konferences mērķis</w:t>
      </w:r>
    </w:p>
    <w:p w:rsidR="001D6F6F" w:rsidRPr="006025DA" w:rsidRDefault="001D6F6F" w:rsidP="00E65549">
      <w:pPr>
        <w:jc w:val="both"/>
      </w:pPr>
      <w:r w:rsidRPr="006025DA">
        <w:t xml:space="preserve">Lai apgāztu šodienas Krievijas joprojām plaši izplatītos melīgos apgalvojumus par lielajām PSRS investīcijām Baltijas republikās, uz pašas PSRS finanšu dokumentu pamata darīt zināmu plašai starptautiskai sabiedrībai faktus par katrai Baltijas valstij nodarītajiem apjomīgajiem finansiālajiem un demogrāfiskajiem zaudējumiem, ko izraisījis PSRS totalitārais okupācijas režīms. </w:t>
      </w:r>
    </w:p>
    <w:p w:rsidR="001D6F6F" w:rsidRPr="006025DA" w:rsidRDefault="001D6F6F" w:rsidP="00E65549">
      <w:pPr>
        <w:jc w:val="both"/>
      </w:pPr>
    </w:p>
    <w:p w:rsidR="001D6F6F" w:rsidRPr="006025DA" w:rsidRDefault="001D6F6F" w:rsidP="00E65549">
      <w:pPr>
        <w:jc w:val="both"/>
        <w:rPr>
          <w:b/>
          <w:bCs/>
          <w:sz w:val="28"/>
          <w:szCs w:val="28"/>
        </w:rPr>
      </w:pPr>
      <w:r w:rsidRPr="006025DA">
        <w:rPr>
          <w:b/>
          <w:bCs/>
          <w:sz w:val="28"/>
          <w:szCs w:val="28"/>
        </w:rPr>
        <w:t>Konferences uzdevums</w:t>
      </w:r>
    </w:p>
    <w:p w:rsidR="001D6F6F" w:rsidRPr="006025DA" w:rsidRDefault="001D6F6F" w:rsidP="00E65549">
      <w:pPr>
        <w:jc w:val="both"/>
      </w:pPr>
      <w:r w:rsidRPr="006025DA">
        <w:t>Uz zinātniski pamatotas metodoloģijas pamata sniegt pārskatāmu informāciju par pētījumos konstatētajiem faktiem, kas atklājās Latvijas, Lietuvas un Igaunijas arhīvos atrodamajos PSRS laika oriģinālajos dokumentos. Kopumā pierādīt, ka visas trīs Baltijas republikas:</w:t>
      </w:r>
    </w:p>
    <w:p w:rsidR="001D6F6F" w:rsidRPr="006025DA" w:rsidRDefault="001D6F6F" w:rsidP="0027490C">
      <w:pPr>
        <w:numPr>
          <w:ilvl w:val="0"/>
          <w:numId w:val="10"/>
        </w:numPr>
        <w:jc w:val="both"/>
      </w:pPr>
      <w:r w:rsidRPr="006025DA">
        <w:t>visā okupācijas periodā no sava budžeta 20-40 % apmērā ir dotējušas PSRS budžetu, atpakaļ saņemot tikai</w:t>
      </w:r>
      <w:r>
        <w:t xml:space="preserve"> nelielu daļu no šī finansējuma</w:t>
      </w:r>
      <w:r w:rsidRPr="002B3DDC">
        <w:t>;</w:t>
      </w:r>
    </w:p>
    <w:p w:rsidR="001D6F6F" w:rsidRPr="006025DA" w:rsidRDefault="001D6F6F" w:rsidP="0027490C">
      <w:pPr>
        <w:numPr>
          <w:ilvl w:val="0"/>
          <w:numId w:val="10"/>
        </w:numPr>
        <w:jc w:val="both"/>
      </w:pPr>
      <w:r w:rsidRPr="006025DA">
        <w:t>no republikās atlikušās budžeta daļas vairāk nekā puse līdzekļu tika izlietota PSRS armijas, represīvo institūciju un militāri rūpnieciskā kompleksa finansēšanai;</w:t>
      </w:r>
    </w:p>
    <w:p w:rsidR="001D6F6F" w:rsidRPr="006025DA" w:rsidRDefault="001D6F6F" w:rsidP="0027490C">
      <w:pPr>
        <w:numPr>
          <w:ilvl w:val="0"/>
          <w:numId w:val="10"/>
        </w:numPr>
        <w:jc w:val="both"/>
      </w:pPr>
      <w:r w:rsidRPr="006025DA">
        <w:t>visu okupācijas laiku notika Baltijas republiku kolonizācija un nežēlīgas represijas pret  šo republiku iedzīvotājiem.</w:t>
      </w:r>
    </w:p>
    <w:p w:rsidR="001D6F6F" w:rsidRPr="006025DA" w:rsidRDefault="001D6F6F" w:rsidP="00261E7E">
      <w:pPr>
        <w:jc w:val="both"/>
      </w:pPr>
      <w:r w:rsidRPr="006025DA">
        <w:t>Tādēļ konferences otrais uzdevums ir noskaidrot, kāda atbildība uz starptautisko tiesību normu pamata jānes šo zaudējumu nodarītājai valstij.</w:t>
      </w:r>
    </w:p>
    <w:p w:rsidR="001D6F6F" w:rsidRPr="006025DA" w:rsidRDefault="001D6F6F" w:rsidP="00261E7E">
      <w:pPr>
        <w:jc w:val="both"/>
      </w:pPr>
    </w:p>
    <w:p w:rsidR="001D6F6F" w:rsidRPr="006025DA" w:rsidRDefault="001D6F6F" w:rsidP="00261E7E">
      <w:pPr>
        <w:jc w:val="both"/>
        <w:rPr>
          <w:b/>
          <w:bCs/>
          <w:sz w:val="28"/>
          <w:szCs w:val="28"/>
        </w:rPr>
      </w:pPr>
      <w:r w:rsidRPr="006025DA">
        <w:rPr>
          <w:b/>
          <w:bCs/>
          <w:sz w:val="28"/>
          <w:szCs w:val="28"/>
        </w:rPr>
        <w:t>Konferences organizatori</w:t>
      </w:r>
    </w:p>
    <w:p w:rsidR="001D6F6F" w:rsidRPr="006025DA" w:rsidRDefault="001D6F6F" w:rsidP="00212E8A">
      <w:pPr>
        <w:autoSpaceDE w:val="0"/>
        <w:autoSpaceDN w:val="0"/>
        <w:adjustRightInd w:val="0"/>
        <w:jc w:val="both"/>
        <w:rPr>
          <w:lang w:eastAsia="lv-LV"/>
        </w:rPr>
      </w:pPr>
      <w:r w:rsidRPr="006025DA">
        <w:rPr>
          <w:b/>
          <w:bCs/>
        </w:rPr>
        <w:t>1. Ministru kabineta Komisija</w:t>
      </w:r>
      <w:r w:rsidRPr="006025DA">
        <w:t xml:space="preserve"> PSRS totalitārā komunistiskā okupācijas režīma upuru skaita un masu kapu vietu noteikšanai, informācijas par represijām un masveida deportācijām apkopošanai un Latvijas valstij un tās iedzīvotājiem nodarīto zaudējumu aprēķināšanai (turpmāk – Komisija).</w:t>
      </w:r>
    </w:p>
    <w:p w:rsidR="001D6F6F" w:rsidRPr="006025DA" w:rsidRDefault="001D6F6F" w:rsidP="00EA10FE">
      <w:pPr>
        <w:pStyle w:val="NormalWeb"/>
        <w:spacing w:after="0" w:afterAutospacing="0" w:line="240" w:lineRule="atLeast"/>
        <w:jc w:val="both"/>
        <w:rPr>
          <w:b/>
          <w:bCs/>
        </w:rPr>
      </w:pPr>
      <w:r w:rsidRPr="006025DA">
        <w:rPr>
          <w:b/>
          <w:bCs/>
        </w:rPr>
        <w:t>2. Latvijas Republikas Tieslietu ministrija</w:t>
      </w:r>
    </w:p>
    <w:p w:rsidR="001D6F6F" w:rsidRPr="006025DA" w:rsidRDefault="001D6F6F" w:rsidP="00EA10FE">
      <w:pPr>
        <w:pStyle w:val="NormalWeb"/>
        <w:spacing w:before="0" w:beforeAutospacing="0" w:after="0" w:afterAutospacing="0" w:line="240" w:lineRule="atLeast"/>
        <w:jc w:val="both"/>
        <w:rPr>
          <w:bdr w:val="none" w:sz="0" w:space="0" w:color="auto" w:frame="1"/>
          <w:shd w:val="clear" w:color="auto" w:fill="FFFFFF"/>
        </w:rPr>
      </w:pPr>
      <w:r w:rsidRPr="006025DA">
        <w:t>Ministrija saskaņā ar Ministru kabineta 2006. gada 30. maija</w:t>
      </w:r>
      <w:r w:rsidRPr="006025DA">
        <w:rPr>
          <w:bdr w:val="none" w:sz="0" w:space="0" w:color="auto" w:frame="1"/>
          <w:shd w:val="clear" w:color="auto" w:fill="FFFFFF"/>
        </w:rPr>
        <w:t xml:space="preserve"> noteikumu </w:t>
      </w:r>
      <w:r w:rsidRPr="006025DA">
        <w:t>Nr. 446</w:t>
      </w:r>
      <w:r w:rsidRPr="006025DA">
        <w:rPr>
          <w:sz w:val="28"/>
          <w:szCs w:val="28"/>
        </w:rPr>
        <w:t xml:space="preserve"> </w:t>
      </w:r>
      <w:r w:rsidRPr="006025DA">
        <w:t xml:space="preserve">14. un 15. </w:t>
      </w:r>
      <w:r w:rsidRPr="006025DA">
        <w:rPr>
          <w:bdr w:val="none" w:sz="0" w:space="0" w:color="auto" w:frame="1"/>
          <w:shd w:val="clear" w:color="auto" w:fill="FFFFFF"/>
        </w:rPr>
        <w:t xml:space="preserve">punktu veic sekretariāta funkcijas un nodrošina Komisijas darbību. </w:t>
      </w:r>
    </w:p>
    <w:p w:rsidR="001D6F6F" w:rsidRPr="006025DA" w:rsidRDefault="001D6F6F" w:rsidP="00261E7E">
      <w:pPr>
        <w:jc w:val="both"/>
        <w:rPr>
          <w:b/>
          <w:bCs/>
        </w:rPr>
      </w:pPr>
    </w:p>
    <w:p w:rsidR="001D6F6F" w:rsidRPr="006025DA" w:rsidRDefault="001D6F6F" w:rsidP="00261E7E">
      <w:pPr>
        <w:jc w:val="both"/>
        <w:rPr>
          <w:b/>
          <w:bCs/>
        </w:rPr>
      </w:pPr>
      <w:r w:rsidRPr="006025DA">
        <w:rPr>
          <w:b/>
          <w:bCs/>
        </w:rPr>
        <w:t>3. Latvijas Okupācijas izpētes biedrība (LOIB)</w:t>
      </w:r>
    </w:p>
    <w:p w:rsidR="001D6F6F" w:rsidRPr="006025DA" w:rsidRDefault="001D6F6F" w:rsidP="00261E7E">
      <w:pPr>
        <w:jc w:val="both"/>
      </w:pPr>
      <w:r w:rsidRPr="00CE7340">
        <w:t>Kopš 2013. gada biedrība darbojas kā Tieslietu ministrijas sadarbības partnere jaut</w:t>
      </w:r>
      <w:r>
        <w:t>ājumos, kas saistīti ar Komisijas pētniecības darba organizēšanu</w:t>
      </w:r>
      <w:r w:rsidRPr="006025DA">
        <w:t>. Šogad apritēs 10 gadi</w:t>
      </w:r>
      <w:r>
        <w:t>,</w:t>
      </w:r>
      <w:r w:rsidRPr="006025DA">
        <w:t xml:space="preserve"> kopš biedrība saskaņā ar statūtiem darbojas Latvijas okupāciju izpētes jomā. Biedrība savā darbības  laikā ir noorganizējusi 7 starptautiska mēroga konferences, ~ 30 izglītojošus seminārus, izdevusi 8 grāmatas, plašsaziņas līdzekļiem sniegusi daudzas intervijas, kā stratēģiskais partneris un padomnieks aktīvi atbalstījusi Komisijas darbu. Vairāk: </w:t>
      </w:r>
      <w:hyperlink r:id="rId7" w:history="1">
        <w:r w:rsidRPr="006025DA">
          <w:rPr>
            <w:rStyle w:val="Hyperlink"/>
            <w:color w:val="auto"/>
          </w:rPr>
          <w:t>www.loib.lv</w:t>
        </w:r>
      </w:hyperlink>
      <w:r w:rsidRPr="006025DA">
        <w:t xml:space="preserve"> </w:t>
      </w:r>
    </w:p>
    <w:p w:rsidR="001D6F6F" w:rsidRPr="006025DA" w:rsidRDefault="001D6F6F" w:rsidP="00261E7E">
      <w:pPr>
        <w:jc w:val="both"/>
      </w:pPr>
      <w:r w:rsidRPr="006025DA">
        <w:br w:type="page"/>
      </w:r>
    </w:p>
    <w:p w:rsidR="001D6F6F" w:rsidRPr="006025DA" w:rsidRDefault="001D6F6F" w:rsidP="00261E7E">
      <w:pPr>
        <w:jc w:val="both"/>
      </w:pPr>
    </w:p>
    <w:p w:rsidR="001D6F6F" w:rsidRPr="000848C1" w:rsidRDefault="001D6F6F" w:rsidP="00961523">
      <w:pPr>
        <w:jc w:val="center"/>
        <w:rPr>
          <w:b/>
          <w:bCs/>
          <w:sz w:val="26"/>
          <w:szCs w:val="26"/>
        </w:rPr>
      </w:pPr>
      <w:r w:rsidRPr="000848C1">
        <w:rPr>
          <w:b/>
          <w:bCs/>
          <w:sz w:val="26"/>
          <w:szCs w:val="26"/>
        </w:rPr>
        <w:t>Starptautiskā konference</w:t>
      </w:r>
    </w:p>
    <w:p w:rsidR="001D6F6F" w:rsidRPr="00DD1A87" w:rsidRDefault="001D6F6F" w:rsidP="00961523">
      <w:pPr>
        <w:jc w:val="center"/>
        <w:rPr>
          <w:b/>
          <w:bCs/>
          <w:color w:val="993300"/>
          <w:sz w:val="26"/>
          <w:szCs w:val="26"/>
        </w:rPr>
      </w:pPr>
      <w:r w:rsidRPr="00DD1A87">
        <w:rPr>
          <w:b/>
          <w:bCs/>
          <w:color w:val="993300"/>
          <w:sz w:val="26"/>
          <w:szCs w:val="26"/>
        </w:rPr>
        <w:t>APZINĀTIE  PSRS  OKUPĀCIJAS  RADĪTIE  ZAUDĒJUMI  BALTIJĀ</w:t>
      </w:r>
    </w:p>
    <w:p w:rsidR="001D6F6F" w:rsidRDefault="001D6F6F" w:rsidP="00961523">
      <w:pPr>
        <w:jc w:val="center"/>
        <w:rPr>
          <w:b/>
          <w:bCs/>
          <w:sz w:val="26"/>
          <w:szCs w:val="26"/>
        </w:rPr>
      </w:pPr>
      <w:r>
        <w:rPr>
          <w:b/>
          <w:bCs/>
          <w:sz w:val="26"/>
          <w:szCs w:val="26"/>
        </w:rPr>
        <w:t>2019. gada 22. marts</w:t>
      </w:r>
      <w:r w:rsidRPr="000848C1">
        <w:rPr>
          <w:b/>
          <w:bCs/>
          <w:sz w:val="26"/>
          <w:szCs w:val="26"/>
        </w:rPr>
        <w:t xml:space="preserve"> </w:t>
      </w:r>
    </w:p>
    <w:p w:rsidR="001D6F6F" w:rsidRPr="000848C1" w:rsidRDefault="001D6F6F" w:rsidP="00961523">
      <w:pPr>
        <w:jc w:val="center"/>
        <w:rPr>
          <w:b/>
          <w:bCs/>
          <w:sz w:val="26"/>
          <w:szCs w:val="26"/>
        </w:rPr>
      </w:pPr>
      <w:r w:rsidRPr="000848C1">
        <w:rPr>
          <w:b/>
          <w:bCs/>
          <w:sz w:val="26"/>
          <w:szCs w:val="26"/>
        </w:rPr>
        <w:t>Rīga</w:t>
      </w:r>
      <w:r>
        <w:rPr>
          <w:b/>
          <w:bCs/>
          <w:sz w:val="26"/>
          <w:szCs w:val="26"/>
        </w:rPr>
        <w:t xml:space="preserve">, </w:t>
      </w:r>
      <w:r w:rsidRPr="000848C1">
        <w:rPr>
          <w:b/>
          <w:bCs/>
          <w:sz w:val="26"/>
          <w:szCs w:val="26"/>
        </w:rPr>
        <w:t>Tieslietu ministrijas Sarkanā zāle</w:t>
      </w:r>
    </w:p>
    <w:p w:rsidR="001D6F6F" w:rsidRPr="000848C1" w:rsidRDefault="001D6F6F" w:rsidP="00961523">
      <w:pPr>
        <w:jc w:val="center"/>
        <w:rPr>
          <w:sz w:val="8"/>
          <w:szCs w:val="8"/>
        </w:rPr>
      </w:pPr>
    </w:p>
    <w:p w:rsidR="001D6F6F" w:rsidRPr="000848C1" w:rsidRDefault="001D6F6F" w:rsidP="00961523">
      <w:pPr>
        <w:jc w:val="center"/>
        <w:rPr>
          <w:b/>
          <w:bCs/>
          <w:sz w:val="26"/>
          <w:szCs w:val="26"/>
        </w:rPr>
      </w:pPr>
      <w:r w:rsidRPr="000848C1">
        <w:rPr>
          <w:b/>
          <w:bCs/>
          <w:sz w:val="26"/>
          <w:szCs w:val="26"/>
        </w:rPr>
        <w:t>P</w:t>
      </w:r>
      <w:r>
        <w:rPr>
          <w:b/>
          <w:bCs/>
          <w:sz w:val="26"/>
          <w:szCs w:val="26"/>
        </w:rPr>
        <w:t xml:space="preserve"> </w:t>
      </w:r>
      <w:r w:rsidRPr="000848C1">
        <w:rPr>
          <w:b/>
          <w:bCs/>
          <w:sz w:val="26"/>
          <w:szCs w:val="26"/>
        </w:rPr>
        <w:t>R</w:t>
      </w:r>
      <w:r>
        <w:rPr>
          <w:b/>
          <w:bCs/>
          <w:sz w:val="26"/>
          <w:szCs w:val="26"/>
        </w:rPr>
        <w:t xml:space="preserve"> </w:t>
      </w:r>
      <w:r w:rsidRPr="000848C1">
        <w:rPr>
          <w:b/>
          <w:bCs/>
          <w:sz w:val="26"/>
          <w:szCs w:val="26"/>
        </w:rPr>
        <w:t>O</w:t>
      </w:r>
      <w:r>
        <w:rPr>
          <w:b/>
          <w:bCs/>
          <w:sz w:val="26"/>
          <w:szCs w:val="26"/>
        </w:rPr>
        <w:t xml:space="preserve"> </w:t>
      </w:r>
      <w:r w:rsidRPr="000848C1">
        <w:rPr>
          <w:b/>
          <w:bCs/>
          <w:sz w:val="26"/>
          <w:szCs w:val="26"/>
        </w:rPr>
        <w:t>G</w:t>
      </w:r>
      <w:r>
        <w:rPr>
          <w:b/>
          <w:bCs/>
          <w:sz w:val="26"/>
          <w:szCs w:val="26"/>
        </w:rPr>
        <w:t xml:space="preserve"> </w:t>
      </w:r>
      <w:r w:rsidRPr="000848C1">
        <w:rPr>
          <w:b/>
          <w:bCs/>
          <w:sz w:val="26"/>
          <w:szCs w:val="26"/>
        </w:rPr>
        <w:t>R</w:t>
      </w:r>
      <w:r>
        <w:rPr>
          <w:b/>
          <w:bCs/>
          <w:sz w:val="26"/>
          <w:szCs w:val="26"/>
        </w:rPr>
        <w:t xml:space="preserve"> </w:t>
      </w:r>
      <w:r w:rsidRPr="000848C1">
        <w:rPr>
          <w:b/>
          <w:bCs/>
          <w:sz w:val="26"/>
          <w:szCs w:val="26"/>
        </w:rPr>
        <w:t>A</w:t>
      </w:r>
      <w:r>
        <w:rPr>
          <w:b/>
          <w:bCs/>
          <w:sz w:val="26"/>
          <w:szCs w:val="26"/>
        </w:rPr>
        <w:t xml:space="preserve"> </w:t>
      </w:r>
      <w:r w:rsidRPr="000848C1">
        <w:rPr>
          <w:b/>
          <w:bCs/>
          <w:sz w:val="26"/>
          <w:szCs w:val="26"/>
        </w:rPr>
        <w:t>M</w:t>
      </w:r>
      <w:r>
        <w:rPr>
          <w:b/>
          <w:bCs/>
          <w:sz w:val="26"/>
          <w:szCs w:val="26"/>
        </w:rPr>
        <w:t xml:space="preserve"> </w:t>
      </w:r>
      <w:r w:rsidRPr="000848C1">
        <w:rPr>
          <w:b/>
          <w:bCs/>
          <w:sz w:val="26"/>
          <w:szCs w:val="26"/>
        </w:rPr>
        <w:t>M</w:t>
      </w:r>
      <w:r>
        <w:rPr>
          <w:b/>
          <w:bCs/>
          <w:sz w:val="26"/>
          <w:szCs w:val="26"/>
        </w:rPr>
        <w:t xml:space="preserve"> </w:t>
      </w:r>
      <w:r w:rsidRPr="000848C1">
        <w:rPr>
          <w:b/>
          <w:bCs/>
          <w:sz w:val="26"/>
          <w:szCs w:val="26"/>
        </w:rPr>
        <w:t>A</w:t>
      </w:r>
    </w:p>
    <w:p w:rsidR="001D6F6F" w:rsidRPr="000848C1" w:rsidRDefault="001D6F6F" w:rsidP="00961523">
      <w:pPr>
        <w:rPr>
          <w:sz w:val="8"/>
          <w:szCs w:val="8"/>
        </w:rPr>
      </w:pPr>
    </w:p>
    <w:tbl>
      <w:tblPr>
        <w:tblW w:w="971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28"/>
        <w:gridCol w:w="4554"/>
        <w:gridCol w:w="1581"/>
        <w:gridCol w:w="2750"/>
      </w:tblGrid>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9.30</w:t>
            </w:r>
          </w:p>
        </w:tc>
        <w:tc>
          <w:tcPr>
            <w:tcW w:w="8885" w:type="dxa"/>
            <w:gridSpan w:val="3"/>
          </w:tcPr>
          <w:p w:rsidR="001D6F6F" w:rsidRPr="002B6CFB" w:rsidRDefault="001D6F6F" w:rsidP="000462A2">
            <w:pPr>
              <w:spacing w:before="40"/>
              <w:rPr>
                <w:lang w:bidi="mr-IN"/>
              </w:rPr>
            </w:pPr>
            <w:r w:rsidRPr="002B6CFB">
              <w:rPr>
                <w:sz w:val="22"/>
                <w:szCs w:val="22"/>
                <w:lang w:bidi="mr-IN"/>
              </w:rPr>
              <w:t>Dalībnieku reģistrācija</w:t>
            </w:r>
          </w:p>
        </w:tc>
      </w:tr>
      <w:tr w:rsidR="001D6F6F" w:rsidRPr="00914EB1" w:rsidTr="000462A2">
        <w:trPr>
          <w:jc w:val="center"/>
        </w:trPr>
        <w:tc>
          <w:tcPr>
            <w:tcW w:w="9713" w:type="dxa"/>
            <w:gridSpan w:val="4"/>
          </w:tcPr>
          <w:p w:rsidR="001D6F6F" w:rsidRPr="002B6CFB" w:rsidRDefault="001D6F6F" w:rsidP="000462A2">
            <w:pPr>
              <w:spacing w:before="40"/>
              <w:rPr>
                <w:b/>
                <w:bCs/>
                <w:lang w:bidi="mr-IN"/>
              </w:rPr>
            </w:pPr>
            <w:r>
              <w:rPr>
                <w:b/>
                <w:bCs/>
                <w:sz w:val="22"/>
                <w:szCs w:val="22"/>
                <w:lang w:bidi="mr-IN"/>
              </w:rPr>
              <w:t xml:space="preserve">1. </w:t>
            </w:r>
            <w:r w:rsidRPr="002B6CFB">
              <w:rPr>
                <w:b/>
                <w:bCs/>
                <w:sz w:val="22"/>
                <w:szCs w:val="22"/>
                <w:lang w:bidi="mr-IN"/>
              </w:rPr>
              <w:t>Politiskais aspekts</w:t>
            </w:r>
          </w:p>
          <w:p w:rsidR="001D6F6F" w:rsidRPr="002B6CFB" w:rsidRDefault="001D6F6F" w:rsidP="000462A2">
            <w:pPr>
              <w:spacing w:before="40"/>
              <w:rPr>
                <w:bCs/>
                <w:lang w:bidi="mr-IN"/>
              </w:rPr>
            </w:pPr>
            <w:r w:rsidRPr="002B6CFB">
              <w:rPr>
                <w:bCs/>
                <w:sz w:val="22"/>
                <w:szCs w:val="22"/>
                <w:lang w:bidi="mr-IN"/>
              </w:rPr>
              <w:t>Moderators: Edmunds Stankevičs, Komisijas</w:t>
            </w:r>
            <w:r w:rsidRPr="002B6CFB">
              <w:rPr>
                <w:rStyle w:val="FootnoteReference"/>
                <w:bCs/>
                <w:sz w:val="22"/>
                <w:szCs w:val="22"/>
                <w:lang w:bidi="mr-IN"/>
              </w:rPr>
              <w:footnoteReference w:id="2"/>
            </w:r>
            <w:r w:rsidRPr="002B6CFB">
              <w:rPr>
                <w:bCs/>
                <w:sz w:val="22"/>
                <w:szCs w:val="22"/>
                <w:lang w:bidi="mr-IN"/>
              </w:rPr>
              <w:t xml:space="preserve"> priekšsēdētājs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10.00</w:t>
            </w:r>
          </w:p>
        </w:tc>
        <w:tc>
          <w:tcPr>
            <w:tcW w:w="4554" w:type="dxa"/>
          </w:tcPr>
          <w:p w:rsidR="001D6F6F" w:rsidRPr="002B6CFB" w:rsidRDefault="001D6F6F" w:rsidP="000462A2">
            <w:pPr>
              <w:spacing w:before="40"/>
              <w:rPr>
                <w:lang w:bidi="mr-IN"/>
              </w:rPr>
            </w:pPr>
            <w:r w:rsidRPr="002B6CFB">
              <w:rPr>
                <w:sz w:val="22"/>
                <w:szCs w:val="22"/>
                <w:lang w:bidi="mr-IN"/>
              </w:rPr>
              <w:t>Atklāšanas uzruna</w:t>
            </w:r>
          </w:p>
        </w:tc>
        <w:tc>
          <w:tcPr>
            <w:tcW w:w="4331" w:type="dxa"/>
            <w:gridSpan w:val="2"/>
          </w:tcPr>
          <w:p w:rsidR="001D6F6F" w:rsidRPr="002B6CFB" w:rsidRDefault="001D6F6F" w:rsidP="000462A2">
            <w:pPr>
              <w:spacing w:before="40"/>
              <w:rPr>
                <w:lang w:bidi="mr-IN"/>
              </w:rPr>
            </w:pPr>
            <w:r w:rsidRPr="002B6CFB">
              <w:rPr>
                <w:sz w:val="22"/>
                <w:szCs w:val="22"/>
                <w:lang w:bidi="mr-IN"/>
              </w:rPr>
              <w:t>Jānis Bordāns</w:t>
            </w:r>
          </w:p>
          <w:p w:rsidR="001D6F6F" w:rsidRPr="002B6CFB" w:rsidRDefault="001D6F6F" w:rsidP="000462A2">
            <w:pPr>
              <w:spacing w:before="40"/>
              <w:rPr>
                <w:lang w:bidi="mr-IN"/>
              </w:rPr>
            </w:pPr>
            <w:r w:rsidRPr="002B6CFB">
              <w:rPr>
                <w:sz w:val="22"/>
                <w:szCs w:val="22"/>
                <w:lang w:bidi="mr-IN"/>
              </w:rPr>
              <w:t>Latvijas Republikas tieslietu ministrs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10.10</w:t>
            </w:r>
          </w:p>
        </w:tc>
        <w:tc>
          <w:tcPr>
            <w:tcW w:w="4554" w:type="dxa"/>
          </w:tcPr>
          <w:p w:rsidR="001D6F6F" w:rsidRPr="002B6CFB" w:rsidRDefault="001D6F6F" w:rsidP="000462A2">
            <w:pPr>
              <w:spacing w:before="40"/>
              <w:rPr>
                <w:lang w:bidi="mr-IN"/>
              </w:rPr>
            </w:pPr>
            <w:r w:rsidRPr="002B6CFB">
              <w:rPr>
                <w:sz w:val="22"/>
                <w:szCs w:val="22"/>
                <w:lang w:bidi="mr-IN"/>
              </w:rPr>
              <w:t>Atklāšanas uzruna</w:t>
            </w:r>
          </w:p>
        </w:tc>
        <w:tc>
          <w:tcPr>
            <w:tcW w:w="4331" w:type="dxa"/>
            <w:gridSpan w:val="2"/>
          </w:tcPr>
          <w:p w:rsidR="001D6F6F" w:rsidRPr="002B6CFB" w:rsidRDefault="001D6F6F" w:rsidP="000462A2">
            <w:pPr>
              <w:spacing w:before="40"/>
            </w:pPr>
            <w:r w:rsidRPr="002B6CFB">
              <w:rPr>
                <w:sz w:val="22"/>
                <w:szCs w:val="22"/>
              </w:rPr>
              <w:t>Elvins</w:t>
            </w:r>
            <w:r>
              <w:rPr>
                <w:sz w:val="22"/>
                <w:szCs w:val="22"/>
              </w:rPr>
              <w:t xml:space="preserve"> </w:t>
            </w:r>
            <w:r w:rsidRPr="002B6CFB">
              <w:rPr>
                <w:sz w:val="22"/>
                <w:szCs w:val="22"/>
              </w:rPr>
              <w:t>Jankēvičus</w:t>
            </w:r>
          </w:p>
          <w:p w:rsidR="001D6F6F" w:rsidRPr="002B6CFB" w:rsidRDefault="001D6F6F" w:rsidP="000462A2">
            <w:pPr>
              <w:spacing w:before="40"/>
              <w:rPr>
                <w:lang w:bidi="mr-IN"/>
              </w:rPr>
            </w:pPr>
            <w:r w:rsidRPr="002B6CFB">
              <w:rPr>
                <w:sz w:val="22"/>
                <w:szCs w:val="22"/>
                <w:lang w:bidi="mr-IN"/>
              </w:rPr>
              <w:t>Lietuvas Republikas tieslietu ministrs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10.20</w:t>
            </w:r>
          </w:p>
        </w:tc>
        <w:tc>
          <w:tcPr>
            <w:tcW w:w="4554" w:type="dxa"/>
          </w:tcPr>
          <w:p w:rsidR="001D6F6F" w:rsidRPr="002B6CFB" w:rsidRDefault="001D6F6F" w:rsidP="000462A2">
            <w:pPr>
              <w:spacing w:before="40"/>
              <w:rPr>
                <w:lang w:bidi="mr-IN"/>
              </w:rPr>
            </w:pPr>
            <w:r w:rsidRPr="002B6CFB">
              <w:rPr>
                <w:sz w:val="22"/>
                <w:szCs w:val="22"/>
                <w:lang w:bidi="mr-IN"/>
              </w:rPr>
              <w:t>Atklāšanas uzruna</w:t>
            </w:r>
          </w:p>
        </w:tc>
        <w:tc>
          <w:tcPr>
            <w:tcW w:w="4331" w:type="dxa"/>
            <w:gridSpan w:val="2"/>
          </w:tcPr>
          <w:p w:rsidR="001D6F6F" w:rsidRPr="002B6CFB" w:rsidRDefault="001D6F6F" w:rsidP="000462A2">
            <w:pPr>
              <w:spacing w:before="40"/>
              <w:rPr>
                <w:lang w:bidi="mr-IN"/>
              </w:rPr>
            </w:pPr>
            <w:r w:rsidRPr="002B6CFB">
              <w:rPr>
                <w:sz w:val="22"/>
                <w:szCs w:val="22"/>
                <w:lang w:bidi="mr-IN"/>
              </w:rPr>
              <w:t>Urmass</w:t>
            </w:r>
            <w:r>
              <w:rPr>
                <w:sz w:val="22"/>
                <w:szCs w:val="22"/>
                <w:lang w:bidi="mr-IN"/>
              </w:rPr>
              <w:t xml:space="preserve"> </w:t>
            </w:r>
            <w:r w:rsidRPr="002B6CFB">
              <w:rPr>
                <w:sz w:val="22"/>
                <w:szCs w:val="22"/>
                <w:lang w:bidi="mr-IN"/>
              </w:rPr>
              <w:t>Reinsalu</w:t>
            </w:r>
          </w:p>
          <w:p w:rsidR="001D6F6F" w:rsidRPr="002B6CFB" w:rsidRDefault="001D6F6F" w:rsidP="000462A2">
            <w:pPr>
              <w:spacing w:before="40"/>
              <w:rPr>
                <w:lang w:bidi="mr-IN"/>
              </w:rPr>
            </w:pPr>
            <w:r w:rsidRPr="002B6CFB">
              <w:rPr>
                <w:sz w:val="22"/>
                <w:szCs w:val="22"/>
                <w:lang w:bidi="mr-IN"/>
              </w:rPr>
              <w:t>Igaunijas Republikas tieslietu ministrs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10.30</w:t>
            </w:r>
          </w:p>
        </w:tc>
        <w:tc>
          <w:tcPr>
            <w:tcW w:w="4554" w:type="dxa"/>
          </w:tcPr>
          <w:p w:rsidR="001D6F6F" w:rsidRPr="002B6CFB" w:rsidRDefault="001D6F6F" w:rsidP="000462A2">
            <w:pPr>
              <w:spacing w:before="40"/>
              <w:rPr>
                <w:lang w:bidi="mr-IN"/>
              </w:rPr>
            </w:pPr>
            <w:r w:rsidRPr="002B6CFB">
              <w:rPr>
                <w:bCs/>
                <w:sz w:val="22"/>
                <w:szCs w:val="28"/>
              </w:rPr>
              <w:t>Eiropas Savienības vēstures politika</w:t>
            </w:r>
          </w:p>
        </w:tc>
        <w:tc>
          <w:tcPr>
            <w:tcW w:w="4331" w:type="dxa"/>
            <w:gridSpan w:val="2"/>
          </w:tcPr>
          <w:p w:rsidR="001D6F6F" w:rsidRPr="002B6CFB" w:rsidRDefault="001D6F6F" w:rsidP="000462A2">
            <w:pPr>
              <w:spacing w:before="40"/>
              <w:rPr>
                <w:lang w:bidi="mr-IN"/>
              </w:rPr>
            </w:pPr>
            <w:r w:rsidRPr="002B6CFB">
              <w:rPr>
                <w:sz w:val="22"/>
                <w:szCs w:val="22"/>
                <w:lang w:bidi="mr-IN"/>
              </w:rPr>
              <w:t>Sandra Kalniete, Eiropas Parlamenta deputāte</w:t>
            </w:r>
          </w:p>
        </w:tc>
      </w:tr>
      <w:tr w:rsidR="001D6F6F" w:rsidRPr="00914EB1" w:rsidTr="000462A2">
        <w:trPr>
          <w:jc w:val="center"/>
        </w:trPr>
        <w:tc>
          <w:tcPr>
            <w:tcW w:w="9713" w:type="dxa"/>
            <w:gridSpan w:val="4"/>
          </w:tcPr>
          <w:p w:rsidR="001D6F6F" w:rsidRPr="002B6CFB" w:rsidRDefault="001D6F6F" w:rsidP="000462A2">
            <w:pPr>
              <w:spacing w:before="40"/>
              <w:rPr>
                <w:b/>
                <w:bCs/>
                <w:lang w:bidi="mr-IN"/>
              </w:rPr>
            </w:pPr>
            <w:r>
              <w:rPr>
                <w:b/>
                <w:bCs/>
                <w:sz w:val="22"/>
                <w:szCs w:val="22"/>
                <w:lang w:bidi="mr-IN"/>
              </w:rPr>
              <w:t xml:space="preserve">2. </w:t>
            </w:r>
            <w:r w:rsidRPr="002B6CFB">
              <w:rPr>
                <w:b/>
                <w:bCs/>
                <w:sz w:val="22"/>
                <w:szCs w:val="22"/>
                <w:lang w:bidi="mr-IN"/>
              </w:rPr>
              <w:t>Apzinātie PSRS okupācijas radītie zaudējumi</w:t>
            </w:r>
          </w:p>
          <w:p w:rsidR="001D6F6F" w:rsidRPr="002B6CFB" w:rsidRDefault="001D6F6F" w:rsidP="000462A2">
            <w:pPr>
              <w:spacing w:before="40"/>
              <w:rPr>
                <w:bCs/>
                <w:lang w:bidi="mr-IN"/>
              </w:rPr>
            </w:pPr>
            <w:r w:rsidRPr="002B6CFB">
              <w:rPr>
                <w:bCs/>
                <w:sz w:val="22"/>
                <w:szCs w:val="22"/>
                <w:lang w:bidi="mr-IN"/>
              </w:rPr>
              <w:t>Moderators: Rolands Artūrs Bebris, LOIB</w:t>
            </w:r>
            <w:r w:rsidRPr="002B6CFB">
              <w:rPr>
                <w:rStyle w:val="FootnoteReference"/>
                <w:bCs/>
                <w:sz w:val="22"/>
                <w:szCs w:val="22"/>
                <w:lang w:bidi="mr-IN"/>
              </w:rPr>
              <w:footnoteReference w:id="3"/>
            </w:r>
            <w:r w:rsidRPr="002B6CFB">
              <w:rPr>
                <w:bCs/>
                <w:sz w:val="22"/>
                <w:szCs w:val="22"/>
                <w:lang w:bidi="mr-IN"/>
              </w:rPr>
              <w:t xml:space="preserve"> valdes priekšsēdētājas vietnieks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11.20</w:t>
            </w:r>
          </w:p>
        </w:tc>
        <w:tc>
          <w:tcPr>
            <w:tcW w:w="6135" w:type="dxa"/>
            <w:gridSpan w:val="2"/>
          </w:tcPr>
          <w:p w:rsidR="001D6F6F" w:rsidRPr="002B6CFB" w:rsidRDefault="001D6F6F" w:rsidP="000462A2">
            <w:pPr>
              <w:spacing w:before="40"/>
              <w:rPr>
                <w:lang w:bidi="mr-IN"/>
              </w:rPr>
            </w:pPr>
            <w:r w:rsidRPr="002B6CFB">
              <w:rPr>
                <w:sz w:val="22"/>
                <w:szCs w:val="22"/>
                <w:lang w:bidi="mr-IN"/>
              </w:rPr>
              <w:t>Padomju okupācijas režīms Latvijā: Finanšu politika un tās rezultāti</w:t>
            </w:r>
          </w:p>
        </w:tc>
        <w:tc>
          <w:tcPr>
            <w:tcW w:w="2750" w:type="dxa"/>
          </w:tcPr>
          <w:p w:rsidR="001D6F6F" w:rsidRPr="002B6CFB" w:rsidRDefault="001D6F6F" w:rsidP="000462A2">
            <w:pPr>
              <w:spacing w:before="40"/>
              <w:rPr>
                <w:lang w:bidi="mr-IN"/>
              </w:rPr>
            </w:pPr>
            <w:r w:rsidRPr="002B6CFB">
              <w:rPr>
                <w:sz w:val="22"/>
                <w:szCs w:val="22"/>
                <w:lang w:bidi="mr-IN"/>
              </w:rPr>
              <w:t>Gatis Krūmiņš</w:t>
            </w:r>
            <w:r w:rsidRPr="002B6CFB">
              <w:rPr>
                <w:i/>
                <w:iCs/>
                <w:sz w:val="22"/>
                <w:szCs w:val="22"/>
                <w:lang w:bidi="mr-IN"/>
              </w:rPr>
              <w:t xml:space="preserve">, </w:t>
            </w:r>
            <w:r w:rsidRPr="00914EB1">
              <w:rPr>
                <w:i/>
                <w:iCs/>
                <w:sz w:val="22"/>
                <w:szCs w:val="22"/>
                <w:lang w:bidi="mr-IN"/>
              </w:rPr>
              <w:t>Latvija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11.40</w:t>
            </w:r>
          </w:p>
        </w:tc>
        <w:tc>
          <w:tcPr>
            <w:tcW w:w="6135" w:type="dxa"/>
            <w:gridSpan w:val="2"/>
          </w:tcPr>
          <w:p w:rsidR="001D6F6F" w:rsidRPr="002B6CFB" w:rsidRDefault="001D6F6F" w:rsidP="000462A2">
            <w:pPr>
              <w:spacing w:before="40"/>
              <w:rPr>
                <w:lang w:bidi="mr-IN"/>
              </w:rPr>
            </w:pPr>
            <w:r w:rsidRPr="002B6CFB">
              <w:rPr>
                <w:sz w:val="22"/>
                <w:szCs w:val="22"/>
                <w:lang w:bidi="mr-IN"/>
              </w:rPr>
              <w:t xml:space="preserve">PSRS finanšu politika Lietuvā okupācijas laikā 1946-1990 </w:t>
            </w:r>
          </w:p>
        </w:tc>
        <w:tc>
          <w:tcPr>
            <w:tcW w:w="2750" w:type="dxa"/>
          </w:tcPr>
          <w:p w:rsidR="001D6F6F" w:rsidRPr="002B6CFB" w:rsidRDefault="001D6F6F" w:rsidP="000462A2">
            <w:pPr>
              <w:spacing w:before="40"/>
              <w:rPr>
                <w:lang w:bidi="mr-IN"/>
              </w:rPr>
            </w:pPr>
            <w:r w:rsidRPr="002B6CFB">
              <w:rPr>
                <w:sz w:val="22"/>
                <w:szCs w:val="22"/>
                <w:lang w:bidi="mr-IN"/>
              </w:rPr>
              <w:t xml:space="preserve">Vida Komičiene, </w:t>
            </w:r>
            <w:r w:rsidRPr="00914EB1">
              <w:rPr>
                <w:i/>
                <w:iCs/>
                <w:sz w:val="22"/>
                <w:szCs w:val="22"/>
                <w:lang w:bidi="mr-IN"/>
              </w:rPr>
              <w:t>Lietuva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12.05</w:t>
            </w:r>
          </w:p>
        </w:tc>
        <w:tc>
          <w:tcPr>
            <w:tcW w:w="6135" w:type="dxa"/>
            <w:gridSpan w:val="2"/>
          </w:tcPr>
          <w:p w:rsidR="001D6F6F" w:rsidRPr="002B6CFB" w:rsidRDefault="001D6F6F" w:rsidP="000462A2">
            <w:pPr>
              <w:spacing w:before="40"/>
              <w:rPr>
                <w:lang w:bidi="mr-IN"/>
              </w:rPr>
            </w:pPr>
            <w:r w:rsidRPr="002B6CFB">
              <w:rPr>
                <w:sz w:val="22"/>
                <w:szCs w:val="22"/>
                <w:lang w:bidi="mr-IN"/>
              </w:rPr>
              <w:t>PSRS radītie zaudējumiIgaunijas Republikai</w:t>
            </w:r>
          </w:p>
        </w:tc>
        <w:tc>
          <w:tcPr>
            <w:tcW w:w="2750" w:type="dxa"/>
          </w:tcPr>
          <w:p w:rsidR="001D6F6F" w:rsidRPr="002B6CFB" w:rsidRDefault="001D6F6F" w:rsidP="000462A2">
            <w:pPr>
              <w:spacing w:before="40"/>
              <w:rPr>
                <w:lang w:bidi="mr-IN"/>
              </w:rPr>
            </w:pPr>
            <w:r w:rsidRPr="002B6CFB">
              <w:rPr>
                <w:sz w:val="22"/>
                <w:szCs w:val="22"/>
                <w:lang w:bidi="mr-IN"/>
              </w:rPr>
              <w:t xml:space="preserve">Tomass Hīo, </w:t>
            </w:r>
            <w:r w:rsidRPr="002B6CFB">
              <w:rPr>
                <w:i/>
                <w:iCs/>
                <w:sz w:val="22"/>
                <w:szCs w:val="22"/>
                <w:lang w:bidi="mr-IN"/>
              </w:rPr>
              <w:t>Igaunija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12.25</w:t>
            </w:r>
          </w:p>
        </w:tc>
        <w:tc>
          <w:tcPr>
            <w:tcW w:w="6135" w:type="dxa"/>
            <w:gridSpan w:val="2"/>
          </w:tcPr>
          <w:p w:rsidR="001D6F6F" w:rsidRPr="002B6CFB" w:rsidRDefault="001D6F6F" w:rsidP="000462A2">
            <w:pPr>
              <w:spacing w:before="40"/>
              <w:rPr>
                <w:lang w:bidi="mr-IN"/>
              </w:rPr>
            </w:pPr>
            <w:r w:rsidRPr="002B6CFB">
              <w:rPr>
                <w:sz w:val="22"/>
                <w:szCs w:val="22"/>
                <w:lang w:bidi="mr-IN"/>
              </w:rPr>
              <w:t>Baltijas valstīm radītie demogrāfiskie zaudējumi</w:t>
            </w:r>
          </w:p>
        </w:tc>
        <w:tc>
          <w:tcPr>
            <w:tcW w:w="2750" w:type="dxa"/>
          </w:tcPr>
          <w:p w:rsidR="001D6F6F" w:rsidRPr="002B6CFB" w:rsidRDefault="001D6F6F" w:rsidP="000462A2">
            <w:pPr>
              <w:spacing w:before="40"/>
              <w:rPr>
                <w:lang w:bidi="mr-IN"/>
              </w:rPr>
            </w:pPr>
            <w:r w:rsidRPr="002B6CFB">
              <w:rPr>
                <w:sz w:val="22"/>
                <w:szCs w:val="22"/>
                <w:lang w:bidi="mr-IN"/>
              </w:rPr>
              <w:t xml:space="preserve">Ilmārs Mežs, </w:t>
            </w:r>
            <w:r w:rsidRPr="00D150A2">
              <w:rPr>
                <w:i/>
                <w:iCs/>
                <w:sz w:val="22"/>
                <w:szCs w:val="22"/>
                <w:lang w:bidi="mr-IN"/>
              </w:rPr>
              <w:t>Latvija</w:t>
            </w:r>
          </w:p>
        </w:tc>
      </w:tr>
      <w:tr w:rsidR="001D6F6F" w:rsidRPr="00914EB1" w:rsidTr="000462A2">
        <w:trPr>
          <w:jc w:val="center"/>
        </w:trPr>
        <w:tc>
          <w:tcPr>
            <w:tcW w:w="828" w:type="dxa"/>
          </w:tcPr>
          <w:p w:rsidR="001D6F6F" w:rsidRPr="002B6CFB" w:rsidRDefault="001D6F6F" w:rsidP="000462A2">
            <w:pPr>
              <w:spacing w:before="40"/>
              <w:rPr>
                <w:lang w:bidi="mr-IN"/>
              </w:rPr>
            </w:pPr>
            <w:bookmarkStart w:id="0" w:name="_Hlk3994672"/>
            <w:r w:rsidRPr="002B6CFB">
              <w:rPr>
                <w:sz w:val="22"/>
                <w:szCs w:val="22"/>
                <w:lang w:bidi="mr-IN"/>
              </w:rPr>
              <w:t>12.40</w:t>
            </w:r>
          </w:p>
        </w:tc>
        <w:tc>
          <w:tcPr>
            <w:tcW w:w="6135" w:type="dxa"/>
            <w:gridSpan w:val="2"/>
          </w:tcPr>
          <w:p w:rsidR="001D6F6F" w:rsidRPr="002B6CFB" w:rsidRDefault="001D6F6F" w:rsidP="000462A2">
            <w:pPr>
              <w:spacing w:before="40"/>
              <w:rPr>
                <w:color w:val="FF0000"/>
                <w:lang w:bidi="mr-IN"/>
              </w:rPr>
            </w:pPr>
            <w:r w:rsidRPr="002B6CFB">
              <w:rPr>
                <w:sz w:val="22"/>
                <w:szCs w:val="22"/>
                <w:lang w:bidi="mr-IN"/>
              </w:rPr>
              <w:t>PSRS okupācijas nodarītais kaitējums Lietuvai</w:t>
            </w:r>
          </w:p>
        </w:tc>
        <w:tc>
          <w:tcPr>
            <w:tcW w:w="2750" w:type="dxa"/>
          </w:tcPr>
          <w:p w:rsidR="001D6F6F" w:rsidRPr="002B6CFB" w:rsidRDefault="001D6F6F" w:rsidP="000462A2">
            <w:pPr>
              <w:spacing w:before="40"/>
              <w:rPr>
                <w:lang w:bidi="mr-IN"/>
              </w:rPr>
            </w:pPr>
            <w:r w:rsidRPr="002B6CFB">
              <w:rPr>
                <w:sz w:val="22"/>
                <w:szCs w:val="22"/>
                <w:lang w:bidi="mr-IN"/>
              </w:rPr>
              <w:t>Birute</w:t>
            </w:r>
            <w:r>
              <w:rPr>
                <w:sz w:val="22"/>
                <w:szCs w:val="22"/>
                <w:lang w:bidi="mr-IN"/>
              </w:rPr>
              <w:t xml:space="preserve"> </w:t>
            </w:r>
            <w:r w:rsidRPr="002B6CFB">
              <w:rPr>
                <w:sz w:val="22"/>
                <w:szCs w:val="22"/>
                <w:lang w:bidi="mr-IN"/>
              </w:rPr>
              <w:t xml:space="preserve">Burauskaite, </w:t>
            </w:r>
            <w:r w:rsidRPr="002B6CFB">
              <w:rPr>
                <w:i/>
                <w:sz w:val="22"/>
                <w:szCs w:val="22"/>
                <w:lang w:bidi="mr-IN"/>
              </w:rPr>
              <w:t>Lietuva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12.50</w:t>
            </w:r>
          </w:p>
        </w:tc>
        <w:tc>
          <w:tcPr>
            <w:tcW w:w="6135" w:type="dxa"/>
            <w:gridSpan w:val="2"/>
          </w:tcPr>
          <w:p w:rsidR="001D6F6F" w:rsidRPr="002B6CFB" w:rsidRDefault="001D6F6F" w:rsidP="000462A2">
            <w:pPr>
              <w:spacing w:before="40"/>
              <w:rPr>
                <w:color w:val="FF0000"/>
                <w:lang w:bidi="mr-IN"/>
              </w:rPr>
            </w:pPr>
            <w:r w:rsidRPr="002B6CFB">
              <w:rPr>
                <w:sz w:val="22"/>
                <w:szCs w:val="22"/>
                <w:lang w:bidi="mr-IN"/>
              </w:rPr>
              <w:t>Polija kā PSRS kolonija</w:t>
            </w:r>
          </w:p>
        </w:tc>
        <w:tc>
          <w:tcPr>
            <w:tcW w:w="2750" w:type="dxa"/>
          </w:tcPr>
          <w:p w:rsidR="001D6F6F" w:rsidRPr="002B6CFB" w:rsidRDefault="001D6F6F" w:rsidP="000462A2">
            <w:pPr>
              <w:spacing w:before="40"/>
              <w:rPr>
                <w:lang w:bidi="mr-IN"/>
              </w:rPr>
            </w:pPr>
            <w:r w:rsidRPr="002B6CFB">
              <w:rPr>
                <w:sz w:val="22"/>
                <w:szCs w:val="22"/>
                <w:lang w:bidi="mr-IN"/>
              </w:rPr>
              <w:t xml:space="preserve">Dariušs Roguts, </w:t>
            </w:r>
            <w:r w:rsidRPr="002B6CFB">
              <w:rPr>
                <w:i/>
                <w:sz w:val="22"/>
                <w:szCs w:val="22"/>
                <w:lang w:bidi="mr-IN"/>
              </w:rPr>
              <w:t>Polija</w:t>
            </w:r>
          </w:p>
        </w:tc>
      </w:tr>
      <w:bookmarkEnd w:id="0"/>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13.10</w:t>
            </w:r>
          </w:p>
        </w:tc>
        <w:tc>
          <w:tcPr>
            <w:tcW w:w="6135" w:type="dxa"/>
            <w:gridSpan w:val="2"/>
          </w:tcPr>
          <w:p w:rsidR="001D6F6F" w:rsidRPr="002B6CFB" w:rsidRDefault="001D6F6F" w:rsidP="000462A2">
            <w:pPr>
              <w:spacing w:before="40"/>
              <w:rPr>
                <w:lang w:bidi="mr-IN"/>
              </w:rPr>
            </w:pPr>
            <w:r w:rsidRPr="002B6CFB">
              <w:rPr>
                <w:sz w:val="22"/>
                <w:szCs w:val="22"/>
                <w:lang w:bidi="mr-IN"/>
              </w:rPr>
              <w:t>Jautājumi un atbildes</w:t>
            </w:r>
          </w:p>
        </w:tc>
        <w:tc>
          <w:tcPr>
            <w:tcW w:w="2750" w:type="dxa"/>
          </w:tcPr>
          <w:p w:rsidR="001D6F6F" w:rsidRPr="002B6CFB" w:rsidRDefault="001D6F6F" w:rsidP="000462A2">
            <w:pPr>
              <w:spacing w:before="40"/>
              <w:rPr>
                <w:lang w:bidi="mr-IN"/>
              </w:rPr>
            </w:pPr>
          </w:p>
        </w:tc>
      </w:tr>
      <w:tr w:rsidR="001D6F6F" w:rsidRPr="00914EB1" w:rsidTr="000462A2">
        <w:trPr>
          <w:jc w:val="center"/>
        </w:trPr>
        <w:tc>
          <w:tcPr>
            <w:tcW w:w="9713" w:type="dxa"/>
            <w:gridSpan w:val="4"/>
          </w:tcPr>
          <w:p w:rsidR="001D6F6F" w:rsidRPr="002B6CFB" w:rsidRDefault="001D6F6F" w:rsidP="000462A2">
            <w:pPr>
              <w:spacing w:before="40"/>
              <w:rPr>
                <w:b/>
                <w:bCs/>
                <w:lang w:bidi="mr-IN"/>
              </w:rPr>
            </w:pPr>
            <w:r>
              <w:rPr>
                <w:b/>
                <w:bCs/>
                <w:sz w:val="22"/>
                <w:szCs w:val="22"/>
                <w:lang w:bidi="mr-IN"/>
              </w:rPr>
              <w:t xml:space="preserve">3. </w:t>
            </w:r>
            <w:r w:rsidRPr="002B6CFB">
              <w:rPr>
                <w:b/>
                <w:bCs/>
                <w:sz w:val="22"/>
                <w:szCs w:val="22"/>
                <w:lang w:bidi="mr-IN"/>
              </w:rPr>
              <w:t>Tiesiskais aspekts</w:t>
            </w:r>
          </w:p>
          <w:p w:rsidR="001D6F6F" w:rsidRPr="002B6CFB" w:rsidRDefault="001D6F6F" w:rsidP="000462A2">
            <w:pPr>
              <w:spacing w:before="40"/>
              <w:rPr>
                <w:bCs/>
                <w:lang w:bidi="mr-IN"/>
              </w:rPr>
            </w:pPr>
            <w:r w:rsidRPr="002B6CFB">
              <w:rPr>
                <w:bCs/>
                <w:sz w:val="22"/>
                <w:szCs w:val="22"/>
                <w:lang w:bidi="mr-IN"/>
              </w:rPr>
              <w:t>Moderators: Inguss Kalniņš, Satversmes tiesas priekšsēdētājas padomnieks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14.00</w:t>
            </w:r>
          </w:p>
        </w:tc>
        <w:tc>
          <w:tcPr>
            <w:tcW w:w="6135" w:type="dxa"/>
            <w:gridSpan w:val="2"/>
          </w:tcPr>
          <w:p w:rsidR="001D6F6F" w:rsidRPr="002B6CFB" w:rsidRDefault="001D6F6F" w:rsidP="000462A2">
            <w:pPr>
              <w:rPr>
                <w:b/>
                <w:lang w:eastAsia="lv-LV"/>
              </w:rPr>
            </w:pPr>
            <w:r w:rsidRPr="002B6CFB">
              <w:rPr>
                <w:rStyle w:val="Strong"/>
                <w:b w:val="0"/>
                <w:sz w:val="22"/>
                <w:szCs w:val="22"/>
                <w:shd w:val="clear" w:color="auto" w:fill="FFFFFF"/>
              </w:rPr>
              <w:t>Padomju okupācijas zaudējumu kompensācijas pieprasīšanas juridiskais pamats</w:t>
            </w:r>
          </w:p>
        </w:tc>
        <w:tc>
          <w:tcPr>
            <w:tcW w:w="2750" w:type="dxa"/>
          </w:tcPr>
          <w:p w:rsidR="001D6F6F" w:rsidRPr="002B6CFB" w:rsidRDefault="001D6F6F" w:rsidP="000462A2">
            <w:pPr>
              <w:spacing w:before="40"/>
              <w:rPr>
                <w:lang w:bidi="mr-IN"/>
              </w:rPr>
            </w:pPr>
            <w:r w:rsidRPr="002B6CFB">
              <w:rPr>
                <w:sz w:val="22"/>
                <w:szCs w:val="22"/>
              </w:rPr>
              <w:t xml:space="preserve">Daiņus Žaļims, </w:t>
            </w:r>
            <w:r w:rsidRPr="002B6CFB">
              <w:rPr>
                <w:i/>
                <w:sz w:val="22"/>
                <w:szCs w:val="22"/>
              </w:rPr>
              <w:t xml:space="preserve">Lietuva </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14.20</w:t>
            </w:r>
          </w:p>
        </w:tc>
        <w:tc>
          <w:tcPr>
            <w:tcW w:w="6135" w:type="dxa"/>
            <w:gridSpan w:val="2"/>
          </w:tcPr>
          <w:p w:rsidR="001D6F6F" w:rsidRPr="002B6CFB" w:rsidRDefault="001D6F6F" w:rsidP="000462A2">
            <w:pPr>
              <w:spacing w:before="40"/>
              <w:rPr>
                <w:lang w:bidi="mr-IN"/>
              </w:rPr>
            </w:pPr>
            <w:r w:rsidRPr="002B6CFB">
              <w:rPr>
                <w:sz w:val="22"/>
                <w:szCs w:val="22"/>
                <w:lang w:bidi="mr-IN"/>
              </w:rPr>
              <w:t>Tiesiskās iespējas iesniegt prasību PSRS okupācijas Baltijas valstīm nodarīto zaudējumu atlīdzināšanai: problēmas, prasību lietas, risinājumi</w:t>
            </w:r>
          </w:p>
        </w:tc>
        <w:tc>
          <w:tcPr>
            <w:tcW w:w="2750" w:type="dxa"/>
          </w:tcPr>
          <w:p w:rsidR="001D6F6F" w:rsidRPr="002B6CFB" w:rsidRDefault="001D6F6F" w:rsidP="000462A2">
            <w:pPr>
              <w:spacing w:before="40"/>
              <w:rPr>
                <w:lang w:bidi="mr-IN"/>
              </w:rPr>
            </w:pPr>
            <w:r w:rsidRPr="002B6CFB">
              <w:rPr>
                <w:sz w:val="22"/>
                <w:szCs w:val="22"/>
                <w:lang w:bidi="mr-IN"/>
              </w:rPr>
              <w:t>Silvija Gerviene,</w:t>
            </w:r>
            <w:r w:rsidRPr="002B6CFB">
              <w:rPr>
                <w:i/>
                <w:iCs/>
                <w:sz w:val="22"/>
                <w:szCs w:val="22"/>
                <w:lang w:bidi="mr-IN"/>
              </w:rPr>
              <w:t xml:space="preserve"> Lietuva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14.40</w:t>
            </w:r>
          </w:p>
        </w:tc>
        <w:tc>
          <w:tcPr>
            <w:tcW w:w="6135" w:type="dxa"/>
            <w:gridSpan w:val="2"/>
          </w:tcPr>
          <w:p w:rsidR="001D6F6F" w:rsidRPr="002B6CFB" w:rsidRDefault="001D6F6F" w:rsidP="000462A2">
            <w:pPr>
              <w:spacing w:before="40"/>
              <w:rPr>
                <w:lang w:bidi="mr-IN"/>
              </w:rPr>
            </w:pPr>
            <w:r w:rsidRPr="002B6CFB">
              <w:rPr>
                <w:sz w:val="22"/>
                <w:szCs w:val="22"/>
              </w:rPr>
              <w:t>Latvijas kompensācijas prasības juridiskās sastāvdaļas</w:t>
            </w:r>
          </w:p>
        </w:tc>
        <w:tc>
          <w:tcPr>
            <w:tcW w:w="2750" w:type="dxa"/>
          </w:tcPr>
          <w:p w:rsidR="001D6F6F" w:rsidRPr="002B6CFB" w:rsidRDefault="001D6F6F" w:rsidP="000462A2">
            <w:pPr>
              <w:spacing w:before="40"/>
              <w:rPr>
                <w:lang w:bidi="mr-IN"/>
              </w:rPr>
            </w:pPr>
            <w:r w:rsidRPr="002B6CFB">
              <w:rPr>
                <w:sz w:val="22"/>
                <w:szCs w:val="22"/>
                <w:lang w:bidi="mr-IN"/>
              </w:rPr>
              <w:t xml:space="preserve">Ieva Miļūna, </w:t>
            </w:r>
            <w:r w:rsidRPr="00914EB1">
              <w:rPr>
                <w:i/>
                <w:iCs/>
                <w:sz w:val="22"/>
                <w:szCs w:val="22"/>
                <w:lang w:bidi="mr-IN"/>
              </w:rPr>
              <w:t>Latvija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15.00</w:t>
            </w:r>
          </w:p>
        </w:tc>
        <w:tc>
          <w:tcPr>
            <w:tcW w:w="6135" w:type="dxa"/>
            <w:gridSpan w:val="2"/>
          </w:tcPr>
          <w:p w:rsidR="001D6F6F" w:rsidRPr="002B6CFB" w:rsidRDefault="001D6F6F" w:rsidP="000462A2">
            <w:pPr>
              <w:spacing w:before="40"/>
              <w:rPr>
                <w:lang w:bidi="mr-IN"/>
              </w:rPr>
            </w:pPr>
            <w:r w:rsidRPr="002B6CFB">
              <w:rPr>
                <w:sz w:val="22"/>
                <w:szCs w:val="22"/>
                <w:lang w:bidi="mr-IN"/>
              </w:rPr>
              <w:t>Valstiskās nepārtrauktības doktrīna</w:t>
            </w:r>
          </w:p>
        </w:tc>
        <w:tc>
          <w:tcPr>
            <w:tcW w:w="2750" w:type="dxa"/>
          </w:tcPr>
          <w:p w:rsidR="001D6F6F" w:rsidRPr="002B6CFB" w:rsidRDefault="001D6F6F" w:rsidP="000462A2">
            <w:pPr>
              <w:spacing w:before="40"/>
            </w:pPr>
            <w:r w:rsidRPr="002B6CFB">
              <w:rPr>
                <w:sz w:val="22"/>
                <w:szCs w:val="22"/>
                <w:lang w:bidi="mr-IN"/>
              </w:rPr>
              <w:t xml:space="preserve">Tālavs Jundzis, </w:t>
            </w:r>
            <w:r w:rsidRPr="002B6CFB">
              <w:rPr>
                <w:i/>
                <w:iCs/>
                <w:sz w:val="22"/>
                <w:szCs w:val="22"/>
                <w:lang w:bidi="mr-IN"/>
              </w:rPr>
              <w:t>Latvija</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15.20</w:t>
            </w:r>
          </w:p>
        </w:tc>
        <w:tc>
          <w:tcPr>
            <w:tcW w:w="6135" w:type="dxa"/>
            <w:gridSpan w:val="2"/>
          </w:tcPr>
          <w:p w:rsidR="001D6F6F" w:rsidRPr="002B6CFB" w:rsidRDefault="001D6F6F" w:rsidP="000462A2">
            <w:pPr>
              <w:spacing w:before="40"/>
              <w:rPr>
                <w:lang w:bidi="mr-IN"/>
              </w:rPr>
            </w:pPr>
            <w:r w:rsidRPr="002B6CFB">
              <w:rPr>
                <w:sz w:val="22"/>
                <w:szCs w:val="22"/>
                <w:lang w:bidi="mr-IN"/>
              </w:rPr>
              <w:t>Jautājumi un atbildes</w:t>
            </w:r>
          </w:p>
        </w:tc>
        <w:tc>
          <w:tcPr>
            <w:tcW w:w="2750" w:type="dxa"/>
          </w:tcPr>
          <w:p w:rsidR="001D6F6F" w:rsidRPr="002B6CFB" w:rsidRDefault="001D6F6F" w:rsidP="000462A2">
            <w:pPr>
              <w:spacing w:before="40"/>
              <w:rPr>
                <w:lang w:bidi="mr-IN"/>
              </w:rPr>
            </w:pPr>
          </w:p>
        </w:tc>
      </w:tr>
      <w:tr w:rsidR="001D6F6F" w:rsidRPr="00914EB1" w:rsidTr="000462A2">
        <w:trPr>
          <w:jc w:val="center"/>
        </w:trPr>
        <w:tc>
          <w:tcPr>
            <w:tcW w:w="9713" w:type="dxa"/>
            <w:gridSpan w:val="4"/>
          </w:tcPr>
          <w:p w:rsidR="001D6F6F" w:rsidRPr="002B6CFB" w:rsidRDefault="001D6F6F" w:rsidP="000462A2">
            <w:pPr>
              <w:spacing w:before="40"/>
              <w:rPr>
                <w:b/>
                <w:lang w:bidi="mr-IN"/>
              </w:rPr>
            </w:pPr>
            <w:r>
              <w:rPr>
                <w:b/>
                <w:sz w:val="22"/>
                <w:szCs w:val="22"/>
                <w:lang w:bidi="mr-IN"/>
              </w:rPr>
              <w:t xml:space="preserve">4. </w:t>
            </w:r>
            <w:r w:rsidRPr="002B6CFB">
              <w:rPr>
                <w:b/>
                <w:sz w:val="22"/>
                <w:szCs w:val="22"/>
                <w:lang w:bidi="mr-IN"/>
              </w:rPr>
              <w:t>Noslēgums</w:t>
            </w:r>
          </w:p>
        </w:tc>
      </w:tr>
      <w:tr w:rsidR="001D6F6F" w:rsidRPr="00914EB1" w:rsidTr="000462A2">
        <w:trPr>
          <w:jc w:val="center"/>
        </w:trPr>
        <w:tc>
          <w:tcPr>
            <w:tcW w:w="828" w:type="dxa"/>
          </w:tcPr>
          <w:p w:rsidR="001D6F6F" w:rsidRPr="002B6CFB" w:rsidRDefault="001D6F6F" w:rsidP="000462A2">
            <w:pPr>
              <w:spacing w:before="40"/>
              <w:rPr>
                <w:lang w:bidi="mr-IN"/>
              </w:rPr>
            </w:pPr>
            <w:r w:rsidRPr="002B6CFB">
              <w:rPr>
                <w:sz w:val="22"/>
                <w:szCs w:val="22"/>
                <w:lang w:bidi="mr-IN"/>
              </w:rPr>
              <w:t>15.30</w:t>
            </w:r>
          </w:p>
        </w:tc>
        <w:tc>
          <w:tcPr>
            <w:tcW w:w="6135" w:type="dxa"/>
            <w:gridSpan w:val="2"/>
          </w:tcPr>
          <w:p w:rsidR="001D6F6F" w:rsidRPr="002B6CFB" w:rsidRDefault="001D6F6F" w:rsidP="000462A2">
            <w:pPr>
              <w:spacing w:before="40"/>
              <w:rPr>
                <w:lang w:bidi="mr-IN"/>
              </w:rPr>
            </w:pPr>
            <w:r w:rsidRPr="002B6CFB">
              <w:rPr>
                <w:sz w:val="22"/>
                <w:szCs w:val="22"/>
                <w:lang w:bidi="mr-IN"/>
              </w:rPr>
              <w:t>Konferences noslēguma apkopojums</w:t>
            </w:r>
          </w:p>
        </w:tc>
        <w:tc>
          <w:tcPr>
            <w:tcW w:w="2750" w:type="dxa"/>
          </w:tcPr>
          <w:p w:rsidR="001D6F6F" w:rsidRPr="002B6CFB" w:rsidRDefault="001D6F6F" w:rsidP="000462A2">
            <w:pPr>
              <w:spacing w:before="40"/>
              <w:rPr>
                <w:lang w:bidi="mr-IN"/>
              </w:rPr>
            </w:pPr>
            <w:r w:rsidRPr="002B6CFB">
              <w:rPr>
                <w:sz w:val="22"/>
                <w:szCs w:val="22"/>
                <w:lang w:bidi="mr-IN"/>
              </w:rPr>
              <w:t xml:space="preserve">Ineta Ziemele, </w:t>
            </w:r>
            <w:r w:rsidRPr="002B6CFB">
              <w:rPr>
                <w:i/>
                <w:sz w:val="22"/>
                <w:szCs w:val="22"/>
                <w:lang w:bidi="mr-IN"/>
              </w:rPr>
              <w:t xml:space="preserve">Latvija </w:t>
            </w:r>
          </w:p>
        </w:tc>
      </w:tr>
    </w:tbl>
    <w:p w:rsidR="001D6F6F" w:rsidRDefault="001D6F6F" w:rsidP="00961523">
      <w:pPr>
        <w:spacing w:before="60"/>
      </w:pPr>
    </w:p>
    <w:p w:rsidR="001D6F6F" w:rsidRPr="00133D71" w:rsidRDefault="001D6F6F" w:rsidP="00961523">
      <w:pPr>
        <w:spacing w:before="60"/>
      </w:pPr>
      <w:r w:rsidRPr="00133D71">
        <w:t>Konferences valoda – angļu/latviešu/angļu.</w:t>
      </w:r>
    </w:p>
    <w:p w:rsidR="001D6F6F" w:rsidRPr="0027490C" w:rsidRDefault="001D6F6F" w:rsidP="00961523">
      <w:pPr>
        <w:rPr>
          <w:bCs/>
          <w:sz w:val="20"/>
          <w:szCs w:val="20"/>
        </w:rPr>
      </w:pPr>
      <w:r w:rsidRPr="00133D71">
        <w:rPr>
          <w:lang w:eastAsia="en-US"/>
        </w:rPr>
        <w:t>Konferences tiešraide</w:t>
      </w:r>
      <w:r>
        <w:rPr>
          <w:lang w:eastAsia="en-US"/>
        </w:rPr>
        <w:t>s ieraksts</w:t>
      </w:r>
      <w:r w:rsidRPr="00133D71">
        <w:rPr>
          <w:lang w:eastAsia="en-US"/>
        </w:rPr>
        <w:t xml:space="preserve">: </w:t>
      </w:r>
      <w:hyperlink r:id="rId8" w:history="1">
        <w:r w:rsidRPr="00DD1A87">
          <w:rPr>
            <w:rStyle w:val="Hyperlink"/>
            <w:b/>
            <w:bCs/>
            <w:lang w:eastAsia="en-US"/>
          </w:rPr>
          <w:t>https://www.youtube.com/watch?v=rRcoSkdbwk0&amp;feature=youtu.be</w:t>
        </w:r>
      </w:hyperlink>
    </w:p>
    <w:sectPr w:rsidR="001D6F6F" w:rsidRPr="0027490C" w:rsidSect="00337E8D">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F6F" w:rsidRDefault="001D6F6F">
      <w:r>
        <w:separator/>
      </w:r>
    </w:p>
  </w:endnote>
  <w:endnote w:type="continuationSeparator" w:id="1">
    <w:p w:rsidR="001D6F6F" w:rsidRDefault="001D6F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F6F" w:rsidRDefault="001D6F6F">
      <w:r>
        <w:separator/>
      </w:r>
    </w:p>
  </w:footnote>
  <w:footnote w:type="continuationSeparator" w:id="1">
    <w:p w:rsidR="001D6F6F" w:rsidRDefault="001D6F6F">
      <w:r>
        <w:continuationSeparator/>
      </w:r>
    </w:p>
  </w:footnote>
  <w:footnote w:id="2">
    <w:p w:rsidR="001D6F6F" w:rsidRDefault="001D6F6F" w:rsidP="00961523">
      <w:pPr>
        <w:pStyle w:val="FootnoteText"/>
        <w:jc w:val="both"/>
      </w:pPr>
      <w:r>
        <w:rPr>
          <w:rStyle w:val="FootnoteReference"/>
        </w:rPr>
        <w:footnoteRef/>
      </w:r>
      <w:r w:rsidRPr="0087301A">
        <w:t>Komisija PSRS totalitārā komunistiskā okupācijas režīma upuru skaita un masu kapu vietu noteikšanai, informācijas par represijām un masveida deportācijām apkopošanai un Latvijas valstij un tās iedzīvotājiem nodarīto zaudējumu aprēķināšanai (izveidota ar Ministru kabineta 2013. gada 7. novembra rīkojumu Nr.537)</w:t>
      </w:r>
      <w:r>
        <w:t>;</w:t>
      </w:r>
    </w:p>
  </w:footnote>
  <w:footnote w:id="3">
    <w:p w:rsidR="001D6F6F" w:rsidRDefault="001D6F6F" w:rsidP="00961523">
      <w:pPr>
        <w:pStyle w:val="FootnoteText"/>
      </w:pPr>
      <w:r>
        <w:rPr>
          <w:rStyle w:val="FootnoteReference"/>
        </w:rPr>
        <w:footnoteRef/>
      </w:r>
      <w:r>
        <w:t xml:space="preserve"> Latvijas Okupācijas izpētes biedrība;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187"/>
    <w:multiLevelType w:val="multilevel"/>
    <w:tmpl w:val="A1E438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EB5814"/>
    <w:multiLevelType w:val="multilevel"/>
    <w:tmpl w:val="8904FA9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B622E55"/>
    <w:multiLevelType w:val="multilevel"/>
    <w:tmpl w:val="19EE1768"/>
    <w:lvl w:ilvl="0">
      <w:numFmt w:val="bullet"/>
      <w:lvlText w:val=""/>
      <w:lvlJc w:val="left"/>
      <w:pPr>
        <w:tabs>
          <w:tab w:val="num" w:pos="720"/>
        </w:tabs>
        <w:ind w:left="720" w:hanging="360"/>
      </w:pPr>
      <w:rPr>
        <w:rFonts w:ascii="Wingdings" w:eastAsia="MS Mincho"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254F26"/>
    <w:multiLevelType w:val="hybridMultilevel"/>
    <w:tmpl w:val="6810A35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2C45177D"/>
    <w:multiLevelType w:val="hybridMultilevel"/>
    <w:tmpl w:val="A1E43872"/>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nsid w:val="34085FE3"/>
    <w:multiLevelType w:val="hybridMultilevel"/>
    <w:tmpl w:val="8904FA9E"/>
    <w:lvl w:ilvl="0" w:tplc="04260003">
      <w:start w:val="1"/>
      <w:numFmt w:val="bullet"/>
      <w:lvlText w:val="o"/>
      <w:lvlJc w:val="left"/>
      <w:pPr>
        <w:tabs>
          <w:tab w:val="num" w:pos="720"/>
        </w:tabs>
        <w:ind w:left="720" w:hanging="360"/>
      </w:pPr>
      <w:rPr>
        <w:rFonts w:ascii="Courier New" w:hAnsi="Courier New"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AE40B25"/>
    <w:multiLevelType w:val="hybridMultilevel"/>
    <w:tmpl w:val="72B88026"/>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3C52475F"/>
    <w:multiLevelType w:val="hybridMultilevel"/>
    <w:tmpl w:val="19EE1768"/>
    <w:lvl w:ilvl="0" w:tplc="A00EDF24">
      <w:numFmt w:val="bullet"/>
      <w:lvlText w:val=""/>
      <w:lvlJc w:val="left"/>
      <w:pPr>
        <w:tabs>
          <w:tab w:val="num" w:pos="720"/>
        </w:tabs>
        <w:ind w:left="720" w:hanging="360"/>
      </w:pPr>
      <w:rPr>
        <w:rFonts w:ascii="Wingdings" w:eastAsia="MS Mincho"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59FA178E"/>
    <w:multiLevelType w:val="hybridMultilevel"/>
    <w:tmpl w:val="A44ED93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nsid w:val="61E66D41"/>
    <w:multiLevelType w:val="multilevel"/>
    <w:tmpl w:val="A1E438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8"/>
  </w:num>
  <w:num w:numId="7">
    <w:abstractNumId w:val="9"/>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97"/>
    <w:rsid w:val="000462A2"/>
    <w:rsid w:val="000628C9"/>
    <w:rsid w:val="000848C1"/>
    <w:rsid w:val="000F7012"/>
    <w:rsid w:val="001316C1"/>
    <w:rsid w:val="00133D71"/>
    <w:rsid w:val="00140E85"/>
    <w:rsid w:val="00161FD8"/>
    <w:rsid w:val="001A3835"/>
    <w:rsid w:val="001D6F6F"/>
    <w:rsid w:val="00212E8A"/>
    <w:rsid w:val="002159A0"/>
    <w:rsid w:val="00261E7E"/>
    <w:rsid w:val="0027490C"/>
    <w:rsid w:val="002B3DDC"/>
    <w:rsid w:val="002B6CFB"/>
    <w:rsid w:val="002C1A3B"/>
    <w:rsid w:val="003018C9"/>
    <w:rsid w:val="003170B3"/>
    <w:rsid w:val="00324BC5"/>
    <w:rsid w:val="00337E8D"/>
    <w:rsid w:val="00343BCA"/>
    <w:rsid w:val="00366DDB"/>
    <w:rsid w:val="0037212B"/>
    <w:rsid w:val="003828A3"/>
    <w:rsid w:val="00386AC0"/>
    <w:rsid w:val="003D218D"/>
    <w:rsid w:val="003F682F"/>
    <w:rsid w:val="004016F2"/>
    <w:rsid w:val="00424606"/>
    <w:rsid w:val="00443FEB"/>
    <w:rsid w:val="00450298"/>
    <w:rsid w:val="00451A8B"/>
    <w:rsid w:val="004556E1"/>
    <w:rsid w:val="00456C75"/>
    <w:rsid w:val="00475901"/>
    <w:rsid w:val="004A3BAC"/>
    <w:rsid w:val="004C6958"/>
    <w:rsid w:val="00521552"/>
    <w:rsid w:val="00546F26"/>
    <w:rsid w:val="0057001F"/>
    <w:rsid w:val="00570A74"/>
    <w:rsid w:val="005F443E"/>
    <w:rsid w:val="006025DA"/>
    <w:rsid w:val="00633420"/>
    <w:rsid w:val="00643E09"/>
    <w:rsid w:val="00654F4F"/>
    <w:rsid w:val="00657CE2"/>
    <w:rsid w:val="006D0189"/>
    <w:rsid w:val="006E0C99"/>
    <w:rsid w:val="00723B17"/>
    <w:rsid w:val="007E5C28"/>
    <w:rsid w:val="007F51DD"/>
    <w:rsid w:val="00860304"/>
    <w:rsid w:val="0087301A"/>
    <w:rsid w:val="008D102F"/>
    <w:rsid w:val="008D2403"/>
    <w:rsid w:val="008D2E3B"/>
    <w:rsid w:val="00914EB1"/>
    <w:rsid w:val="00923957"/>
    <w:rsid w:val="00956033"/>
    <w:rsid w:val="00961523"/>
    <w:rsid w:val="00994FD7"/>
    <w:rsid w:val="009D50B0"/>
    <w:rsid w:val="009F3648"/>
    <w:rsid w:val="00A33E97"/>
    <w:rsid w:val="00A6112A"/>
    <w:rsid w:val="00A87FCE"/>
    <w:rsid w:val="00AC5107"/>
    <w:rsid w:val="00AD179A"/>
    <w:rsid w:val="00AD2570"/>
    <w:rsid w:val="00B13021"/>
    <w:rsid w:val="00B2333E"/>
    <w:rsid w:val="00B51D35"/>
    <w:rsid w:val="00B54C49"/>
    <w:rsid w:val="00B61497"/>
    <w:rsid w:val="00B832FC"/>
    <w:rsid w:val="00BA424A"/>
    <w:rsid w:val="00BA6B1B"/>
    <w:rsid w:val="00BF7D55"/>
    <w:rsid w:val="00C04811"/>
    <w:rsid w:val="00C05571"/>
    <w:rsid w:val="00C30849"/>
    <w:rsid w:val="00C44855"/>
    <w:rsid w:val="00CB709C"/>
    <w:rsid w:val="00CD606C"/>
    <w:rsid w:val="00CE7340"/>
    <w:rsid w:val="00D02557"/>
    <w:rsid w:val="00D150A2"/>
    <w:rsid w:val="00D46441"/>
    <w:rsid w:val="00D476DD"/>
    <w:rsid w:val="00D7335B"/>
    <w:rsid w:val="00D9483A"/>
    <w:rsid w:val="00DD1A87"/>
    <w:rsid w:val="00DD66CE"/>
    <w:rsid w:val="00DF2AB3"/>
    <w:rsid w:val="00E65549"/>
    <w:rsid w:val="00E821F0"/>
    <w:rsid w:val="00EA10FE"/>
    <w:rsid w:val="00EC00E6"/>
    <w:rsid w:val="00EF7483"/>
    <w:rsid w:val="00F279C5"/>
    <w:rsid w:val="00F66D12"/>
    <w:rsid w:val="00F70731"/>
    <w:rsid w:val="00F70C06"/>
    <w:rsid w:val="00F80E3E"/>
    <w:rsid w:val="00FA36F6"/>
    <w:rsid w:val="00FD6354"/>
    <w:rsid w:val="00FF019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E1"/>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1A3B"/>
    <w:pPr>
      <w:spacing w:before="100" w:beforeAutospacing="1" w:after="100" w:afterAutospacing="1"/>
    </w:pPr>
    <w:rPr>
      <w:lang w:eastAsia="lv-LV"/>
    </w:rPr>
  </w:style>
  <w:style w:type="character" w:styleId="Hyperlink">
    <w:name w:val="Hyperlink"/>
    <w:basedOn w:val="DefaultParagraphFont"/>
    <w:uiPriority w:val="99"/>
    <w:rsid w:val="00BA6B1B"/>
    <w:rPr>
      <w:rFonts w:cs="Times New Roman"/>
      <w:color w:val="0000FF"/>
      <w:u w:val="single"/>
    </w:rPr>
  </w:style>
  <w:style w:type="paragraph" w:styleId="NoSpacing">
    <w:name w:val="No Spacing"/>
    <w:uiPriority w:val="99"/>
    <w:qFormat/>
    <w:rsid w:val="009D50B0"/>
    <w:rPr>
      <w:rFonts w:ascii="Calibri" w:hAnsi="Calibri" w:cs="Calibri"/>
      <w:lang w:val="en-US" w:eastAsia="en-US"/>
    </w:rPr>
  </w:style>
  <w:style w:type="paragraph" w:styleId="FootnoteText">
    <w:name w:val="footnote text"/>
    <w:basedOn w:val="Normal"/>
    <w:link w:val="FootnoteTextChar"/>
    <w:uiPriority w:val="99"/>
    <w:semiHidden/>
    <w:rsid w:val="00EF7483"/>
    <w:rPr>
      <w:sz w:val="20"/>
      <w:szCs w:val="20"/>
    </w:rPr>
  </w:style>
  <w:style w:type="character" w:customStyle="1" w:styleId="FootnoteTextChar">
    <w:name w:val="Footnote Text Char"/>
    <w:basedOn w:val="DefaultParagraphFont"/>
    <w:link w:val="FootnoteText"/>
    <w:uiPriority w:val="99"/>
    <w:semiHidden/>
    <w:locked/>
    <w:rsid w:val="001316C1"/>
    <w:rPr>
      <w:rFonts w:cs="Times New Roman"/>
      <w:sz w:val="20"/>
      <w:szCs w:val="20"/>
      <w:lang w:eastAsia="ja-JP"/>
    </w:rPr>
  </w:style>
  <w:style w:type="character" w:styleId="FootnoteReference">
    <w:name w:val="footnote reference"/>
    <w:basedOn w:val="DefaultParagraphFont"/>
    <w:uiPriority w:val="99"/>
    <w:semiHidden/>
    <w:rsid w:val="00EF7483"/>
    <w:rPr>
      <w:rFonts w:cs="Times New Roman"/>
      <w:vertAlign w:val="superscript"/>
    </w:rPr>
  </w:style>
  <w:style w:type="character" w:styleId="Strong">
    <w:name w:val="Strong"/>
    <w:basedOn w:val="DefaultParagraphFont"/>
    <w:uiPriority w:val="99"/>
    <w:qFormat/>
    <w:locked/>
    <w:rsid w:val="0096152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coSkdbwk0&amp;feature=youtu.be" TargetMode="External"/><Relationship Id="rId3" Type="http://schemas.openxmlformats.org/officeDocument/2006/relationships/settings" Target="settings.xml"/><Relationship Id="rId7" Type="http://schemas.openxmlformats.org/officeDocument/2006/relationships/hyperlink" Target="http://www.loib.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563</TotalTime>
  <Pages>2</Pages>
  <Words>2930</Words>
  <Characters>1671</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Konferences mērķis</dc:title>
  <dc:subject/>
  <dc:creator>Microsoft</dc:creator>
  <cp:keywords/>
  <dc:description/>
  <cp:lastModifiedBy>Microsoft</cp:lastModifiedBy>
  <cp:revision>21</cp:revision>
  <dcterms:created xsi:type="dcterms:W3CDTF">2019-03-14T21:03:00Z</dcterms:created>
  <dcterms:modified xsi:type="dcterms:W3CDTF">2019-04-22T04:41:00Z</dcterms:modified>
</cp:coreProperties>
</file>