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F" w:rsidRPr="00EA2D1C" w:rsidRDefault="005A317F" w:rsidP="006D5093">
      <w:pPr>
        <w:jc w:val="center"/>
        <w:rPr>
          <w:b/>
          <w:bCs/>
          <w:sz w:val="26"/>
          <w:szCs w:val="26"/>
        </w:rPr>
      </w:pPr>
      <w:r w:rsidRPr="00EA2D1C">
        <w:rPr>
          <w:b/>
          <w:bCs/>
          <w:sz w:val="26"/>
          <w:szCs w:val="26"/>
        </w:rPr>
        <w:t xml:space="preserve">Komisijas PSRS totalitārā komunistiskā okupācijas režīma upuru skaita un masu kapu vietu noteikšanai, informācijas par represijām un masveida deportācijām apkopošanai un Latvijas valstij un tās iedzīvotājiem nodarīto zaudējumu aprēķināšanai </w:t>
      </w:r>
    </w:p>
    <w:p w:rsidR="005A317F" w:rsidRPr="00EA2D1C" w:rsidRDefault="005A317F" w:rsidP="006D5093">
      <w:pPr>
        <w:jc w:val="center"/>
        <w:rPr>
          <w:b/>
          <w:bCs/>
          <w:sz w:val="26"/>
          <w:szCs w:val="26"/>
        </w:rPr>
      </w:pPr>
      <w:r w:rsidRPr="00EA2D1C">
        <w:rPr>
          <w:b/>
          <w:bCs/>
          <w:sz w:val="26"/>
          <w:szCs w:val="26"/>
        </w:rPr>
        <w:t>2019. gada darbu plāns</w:t>
      </w:r>
    </w:p>
    <w:p w:rsidR="005A317F" w:rsidRPr="00EA2D1C" w:rsidRDefault="005A317F" w:rsidP="006D5093">
      <w:pPr>
        <w:jc w:val="center"/>
        <w:rPr>
          <w:b/>
          <w:bCs/>
          <w:sz w:val="16"/>
          <w:szCs w:val="16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714"/>
        <w:gridCol w:w="5022"/>
        <w:gridCol w:w="5353"/>
      </w:tblGrid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B1868">
            <w:pPr>
              <w:spacing w:before="120" w:after="120"/>
              <w:jc w:val="center"/>
              <w:rPr>
                <w:b/>
                <w:bCs/>
              </w:rPr>
            </w:pPr>
            <w:r w:rsidRPr="00EA2D1C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714" w:type="dxa"/>
          </w:tcPr>
          <w:p w:rsidR="005A317F" w:rsidRPr="00EA2D1C" w:rsidRDefault="005A317F" w:rsidP="005B1868">
            <w:pPr>
              <w:spacing w:before="120" w:after="120"/>
              <w:jc w:val="center"/>
              <w:rPr>
                <w:b/>
                <w:bCs/>
              </w:rPr>
            </w:pPr>
            <w:r w:rsidRPr="00EA2D1C">
              <w:rPr>
                <w:b/>
                <w:bCs/>
                <w:sz w:val="22"/>
                <w:szCs w:val="22"/>
              </w:rPr>
              <w:t>Tēma</w:t>
            </w:r>
          </w:p>
        </w:tc>
        <w:tc>
          <w:tcPr>
            <w:tcW w:w="5022" w:type="dxa"/>
          </w:tcPr>
          <w:p w:rsidR="005A317F" w:rsidRPr="00EA2D1C" w:rsidRDefault="005A317F" w:rsidP="005B1868">
            <w:pPr>
              <w:spacing w:before="120" w:after="120"/>
              <w:ind w:right="-117"/>
              <w:jc w:val="center"/>
              <w:rPr>
                <w:b/>
                <w:bCs/>
              </w:rPr>
            </w:pPr>
            <w:r w:rsidRPr="00EA2D1C">
              <w:rPr>
                <w:b/>
                <w:bCs/>
                <w:sz w:val="22"/>
                <w:szCs w:val="22"/>
              </w:rPr>
              <w:t>Pamatojums, piezīmes</w:t>
            </w:r>
          </w:p>
        </w:tc>
        <w:tc>
          <w:tcPr>
            <w:tcW w:w="5353" w:type="dxa"/>
          </w:tcPr>
          <w:p w:rsidR="005A317F" w:rsidRPr="00EA2D1C" w:rsidRDefault="005A317F" w:rsidP="005B1868">
            <w:pPr>
              <w:spacing w:before="120" w:after="120"/>
              <w:ind w:right="-192"/>
              <w:jc w:val="center"/>
              <w:rPr>
                <w:b/>
                <w:bCs/>
              </w:rPr>
            </w:pPr>
            <w:r w:rsidRPr="00EA2D1C">
              <w:rPr>
                <w:b/>
                <w:bCs/>
                <w:sz w:val="22"/>
                <w:szCs w:val="22"/>
              </w:rPr>
              <w:t>Rezultāts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1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Starptautiskas konferences "Apzinātie PSRS okupācijas radītie zaudējumi Baltijā" organizēšana un materiālu izplatīšana</w:t>
            </w:r>
          </w:p>
        </w:tc>
        <w:tc>
          <w:tcPr>
            <w:tcW w:w="5022" w:type="dxa"/>
          </w:tcPr>
          <w:p w:rsidR="005A317F" w:rsidRPr="00EA2D1C" w:rsidRDefault="005A317F" w:rsidP="00595B3B">
            <w:pPr>
              <w:spacing w:before="60"/>
              <w:ind w:right="-117"/>
            </w:pPr>
            <w:r w:rsidRPr="00EA2D1C">
              <w:rPr>
                <w:sz w:val="22"/>
                <w:szCs w:val="22"/>
              </w:rPr>
              <w:t>Neskatoties uz šīs komisijas un citiem Baltijas valstu zinātnieku regulāri sniegto informāciju, Krievijas mediji nebeidz izplatīt melus par lielajām PSRS investīcijām mūsu valstu teritorijās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  <w:ind w:right="-192"/>
            </w:pPr>
            <w:r w:rsidRPr="00EA2D1C">
              <w:t>Latvijas un starptautiskā sabiedrība iegūs plašāku, zinātniskā vidē aprobētu informāciju par PSRS okupācijas režīma Baltijas valstīs īstenoto ekspluatatorisko būtību ok</w:t>
            </w:r>
            <w:r>
              <w:t xml:space="preserve">upācijas laikā 1940.-1990. 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 w:rsidRPr="00EA2D1C">
              <w:t>1.1</w:t>
            </w:r>
          </w:p>
        </w:tc>
        <w:tc>
          <w:tcPr>
            <w:tcW w:w="3714" w:type="dxa"/>
          </w:tcPr>
          <w:p w:rsidR="005A317F" w:rsidRPr="00595B3B" w:rsidRDefault="005A317F" w:rsidP="00737BE4">
            <w:pPr>
              <w:spacing w:before="60"/>
            </w:pPr>
            <w:r w:rsidRPr="00EA2D1C">
              <w:t>Konferences telpas izmaksas, tulkošana, ēdināšana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x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x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 w:rsidRPr="00EA2D1C">
              <w:t>1.2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  <w:rPr>
                <w:color w:val="000000"/>
              </w:rPr>
            </w:pPr>
            <w:r w:rsidRPr="00EA2D1C">
              <w:t>Ceļa izdevumu un viesnīcu apmaksa</w:t>
            </w:r>
            <w:r>
              <w:t xml:space="preserve"> </w:t>
            </w:r>
            <w:r w:rsidRPr="00EA2D1C">
              <w:rPr>
                <w:sz w:val="22"/>
                <w:szCs w:val="22"/>
              </w:rPr>
              <w:t>konferences referentiem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x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x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 w:rsidRPr="00EA2D1C">
              <w:t>1.3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  <w:rPr>
                <w:color w:val="000000"/>
              </w:rPr>
            </w:pPr>
            <w:r w:rsidRPr="00EA2D1C">
              <w:t>Konferences materiālu apkopojuma izveide un sagatavošana iespiešanai un tulkošanai, infogrammu izstrāde un ievietošana internetā</w:t>
            </w:r>
          </w:p>
        </w:tc>
        <w:tc>
          <w:tcPr>
            <w:tcW w:w="5022" w:type="dxa"/>
          </w:tcPr>
          <w:p w:rsidR="005A317F" w:rsidRPr="00EA2D1C" w:rsidRDefault="005A317F" w:rsidP="009977FE">
            <w:pPr>
              <w:ind w:right="153"/>
              <w:rPr>
                <w:lang w:eastAsia="en-US"/>
              </w:rPr>
            </w:pPr>
            <w:r w:rsidRPr="00EA2D1C">
              <w:t>Konferencē politiķi, augstākās amatpersonas un zinātnieki - eksperti sniedza ļoti nozīmīgu, līdz šim neizskanējušu jaunu, sabiedrībai vajadzīgu informāciju. Taču tā nav pietiekami plaši izplatīta vietējai un starptautiskajai sabiedrībai.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t>Konferencē sniegtā informācija būs pieejama plašai sabiedrībai internetā un sagatavota</w:t>
            </w:r>
            <w:r>
              <w:t xml:space="preserve"> </w:t>
            </w:r>
            <w:r w:rsidRPr="00EA2D1C">
              <w:t>gan tulkošanai, gan iespiešanai tipogrāfijā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2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color w:val="000000"/>
              </w:rPr>
              <w:t>PSRS budžeta izdevumu struktūras Latvijā padziļināta izpēte laika posmam 1970. – 1990. gadam.</w:t>
            </w:r>
          </w:p>
        </w:tc>
        <w:tc>
          <w:tcPr>
            <w:tcW w:w="5022" w:type="dxa"/>
          </w:tcPr>
          <w:p w:rsidR="005A317F" w:rsidRPr="00EA2D1C" w:rsidRDefault="005A317F" w:rsidP="009977FE">
            <w:pPr>
              <w:ind w:right="153"/>
            </w:pPr>
            <w:r w:rsidRPr="00EA2D1C">
              <w:rPr>
                <w:sz w:val="22"/>
                <w:szCs w:val="22"/>
              </w:rPr>
              <w:t xml:space="preserve"> Pēc 2013. – 2018. gadā paveiktā darba jāturpina 2018. gadā iesāktais darbs, detalizēti analizējot LPSR budžeta izlietojumu Latvijā pa pozīcijām atlikušajam laika periodam 1970.-1990. gadam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Iegūtā informācija ļaus noteikt izdevumu kategorijas, kuras atspoguļo PSRS okupācijas laikā īstenoto koloniālo politiku Latvijā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3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Dokumentu krājums „PSRS okupācijas armijas noziegumi Latvijā”1940.-1991.”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  <w:ind w:left="49"/>
            </w:pPr>
            <w:r w:rsidRPr="00EA2D1C">
              <w:rPr>
                <w:sz w:val="22"/>
                <w:szCs w:val="22"/>
              </w:rPr>
              <w:t xml:space="preserve">Latvijas arhīvos atrodami dažādi dokumenti par PSRS okupācijas armijas daudzajiem nodarītajiem noziegumiem pret Latvijas iedzīvotājiem visā PSRS okupācijas laikā. 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Uz arhīvu dokumentu pamata būs iegūta informācija par PSRS okupantu armijas patieso seju. Šo materiālu varēs ievietot Komisijas mājaslapā u.c. interneta vietnēs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4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 xml:space="preserve">Manuskripta „Deportēto Latvijas iedzīvotāju bēgšana no Sibīrijas specnometinājuma vietām” rediģēšana un sagatavošana </w:t>
            </w:r>
            <w:r>
              <w:t>maket,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  <w:ind w:left="49"/>
            </w:pPr>
            <w:r w:rsidRPr="00EA2D1C">
              <w:rPr>
                <w:sz w:val="22"/>
                <w:szCs w:val="22"/>
              </w:rPr>
              <w:t>2018. gadā izstrādāts manuskripts par šo tēmu, kas jāsagatavo tālākai tā publicēšanai</w:t>
            </w:r>
          </w:p>
          <w:p w:rsidR="005A317F" w:rsidRPr="00EA2D1C" w:rsidRDefault="005A317F" w:rsidP="00737BE4">
            <w:pPr>
              <w:spacing w:before="60"/>
              <w:rPr>
                <w:shd w:val="clear" w:color="auto" w:fill="FFFFFF"/>
              </w:rPr>
            </w:pP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Šo pētījumu varēs izmantot ievietošanai Komisijas mājaslapā, kā arī grāmatas izdošanai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5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Padomju režīma represēto personu apzināšana un datu bāzes veidošana par padomju režīma represētajām personām (1940–1989)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tabs>
                <w:tab w:val="left" w:pos="4079"/>
              </w:tabs>
              <w:spacing w:before="60"/>
              <w:ind w:right="-117"/>
            </w:pPr>
            <w:r w:rsidRPr="00EA2D1C">
              <w:rPr>
                <w:sz w:val="22"/>
                <w:szCs w:val="22"/>
              </w:rPr>
              <w:t>NO LR Iekšlietu ministrijas Informācijas centra saņemtās represēto personu kartotēkas – datu ievade, apstrāde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  <w:ind w:right="-50"/>
            </w:pPr>
            <w:r w:rsidRPr="00EA2D1C">
              <w:rPr>
                <w:sz w:val="22"/>
                <w:szCs w:val="22"/>
              </w:rPr>
              <w:t>Turpināts darbs LR represēto personu pilnīgai datu bāzes iegūšanai MK Komisijas pētniecības darba vajadzībām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6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Intervijas ar LPSR laika augstākā līmeņa tautsaimniekiem, speciālistiem, statistiķiem, dažādu jomu valsts struktūru vadītājiem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tabs>
                <w:tab w:val="left" w:pos="4079"/>
              </w:tabs>
              <w:spacing w:before="60"/>
              <w:ind w:right="31"/>
            </w:pPr>
            <w:r w:rsidRPr="00EA2D1C">
              <w:rPr>
                <w:sz w:val="22"/>
                <w:szCs w:val="22"/>
              </w:rPr>
              <w:t>27 neatkarības gados mēs esam zaudējuši jau daudzu cilvēku būtiskās dzīvās liecības par to, kas un kā īstenojās padomju varas laikā: tautsaimniecības plānošanā, sabiedrībā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  <w:ind w:right="-50"/>
            </w:pPr>
            <w:r w:rsidRPr="00EA2D1C">
              <w:rPr>
                <w:sz w:val="22"/>
                <w:szCs w:val="22"/>
              </w:rPr>
              <w:t>Komisijas izstrādātā interviju standarta ietvaros iegūta informācija no 3 (trīs) personām par PSRS sistēmas darbības metodēm un līdzekļiem Latvijas teritorijā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br w:type="page"/>
              <w:t>7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Komisijas mājaslapas uzturēšana, pastāvīga aktualizācija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 xml:space="preserve">Interneta vietnē </w:t>
            </w:r>
            <w:hyperlink r:id="rId7" w:history="1">
              <w:r w:rsidRPr="00EA2D1C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www.okupacijaszaudejumi.lv</w:t>
              </w:r>
            </w:hyperlink>
            <w:r w:rsidRPr="00EA2D1C">
              <w:rPr>
                <w:sz w:val="22"/>
                <w:szCs w:val="22"/>
              </w:rPr>
              <w:t xml:space="preserve"> pastāvīgi jāaktualizē un jāpapildina informācija par Komisijas darbu un okupācijas jautājumiem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Dažādai sabiedrībai būs pieejama plaša, vispusīga informācija par PSRS okupācijas jautājumiem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8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Tulkošanas un rediģēšanas darbi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 xml:space="preserve">Interneta vietnē </w:t>
            </w:r>
            <w:hyperlink r:id="rId8" w:history="1">
              <w:r w:rsidRPr="00EA2D1C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www.okupacijaszaudejumi.lv</w:t>
              </w:r>
            </w:hyperlink>
            <w:r w:rsidRPr="00EA2D1C">
              <w:rPr>
                <w:sz w:val="22"/>
                <w:szCs w:val="22"/>
              </w:rPr>
              <w:t xml:space="preserve"> ir sadaļas krievu un angļu valodā, kurās jāievieto attiecīga informācija; </w:t>
            </w:r>
          </w:p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Sadarbībai ar Lietuvas, Igaunijas, Polijas, Prāgas platformas u.c. kolēģiem nepieciešama daudzu materiālu tulkošana (piemēram: no/uz angļu, lietuviešu, poļu, čehu, igauņu, krievu valodām)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Starptautiskai sabiedrībai pieejama informācija par MK komisijas darbu u.c. informācija par okupācijas jautājumiem</w:t>
            </w:r>
          </w:p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 xml:space="preserve"> Iespējama starptautiskā sadarbība Komisijas pētnieciskajā darbā</w:t>
            </w:r>
          </w:p>
          <w:p w:rsidR="005A317F" w:rsidRPr="00EA2D1C" w:rsidRDefault="005A317F" w:rsidP="00737BE4">
            <w:pPr>
              <w:spacing w:before="60"/>
            </w:pP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9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pStyle w:val="c4"/>
              <w:spacing w:before="60" w:beforeAutospacing="0" w:after="0" w:afterAutospacing="0"/>
              <w:rPr>
                <w:rStyle w:val="c1"/>
              </w:rPr>
            </w:pPr>
            <w:r w:rsidRPr="00EA2D1C">
              <w:rPr>
                <w:rStyle w:val="c1"/>
              </w:rPr>
              <w:t xml:space="preserve">Materiālu sakārtošana un pilnveidošana interneta vietnē </w:t>
            </w:r>
            <w:hyperlink r:id="rId9" w:history="1">
              <w:r w:rsidRPr="00EA2D1C">
                <w:rPr>
                  <w:rStyle w:val="Hyperlink"/>
                  <w:i/>
                  <w:iCs/>
                  <w:color w:val="auto"/>
                </w:rPr>
                <w:t>www.barikadopedija.lv</w:t>
              </w:r>
            </w:hyperlink>
            <w:r w:rsidRPr="00EA2D1C">
              <w:rPr>
                <w:rStyle w:val="c1"/>
              </w:rPr>
              <w:t xml:space="preserve"> par 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pStyle w:val="c7"/>
              <w:spacing w:before="60" w:beforeAutospacing="0" w:after="0" w:afterAutospacing="0"/>
            </w:pPr>
            <w:r w:rsidRPr="00EA2D1C">
              <w:rPr>
                <w:rStyle w:val="c6"/>
                <w:sz w:val="22"/>
                <w:szCs w:val="22"/>
              </w:rPr>
              <w:t xml:space="preserve">Interneta vietnei </w:t>
            </w:r>
            <w:hyperlink r:id="rId10" w:history="1">
              <w:r w:rsidRPr="00EA2D1C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www.barikadopedija.lv</w:t>
              </w:r>
            </w:hyperlink>
            <w:r w:rsidRPr="00EA2D1C">
              <w:rPr>
                <w:rStyle w:val="c6"/>
                <w:sz w:val="22"/>
                <w:szCs w:val="22"/>
              </w:rPr>
              <w:t>kā vēsturisku faktu atspoguļotājai nepieciešami atsevišķi vēsturnieku precizējumi un rediģējumu tehniska ievietošana tajā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pStyle w:val="c7"/>
              <w:spacing w:before="60" w:beforeAutospacing="0" w:after="0" w:afterAutospacing="0"/>
              <w:rPr>
                <w:rStyle w:val="c6"/>
              </w:rPr>
            </w:pPr>
            <w:r w:rsidRPr="00EA2D1C">
              <w:rPr>
                <w:rStyle w:val="c6"/>
                <w:sz w:val="22"/>
                <w:szCs w:val="22"/>
              </w:rPr>
              <w:t xml:space="preserve">Interneta vietne </w:t>
            </w:r>
            <w:hyperlink r:id="rId11" w:history="1">
              <w:r w:rsidRPr="00EA2D1C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www.barikadopedija.lv</w:t>
              </w:r>
            </w:hyperlink>
            <w:r w:rsidRPr="00EA2D1C">
              <w:rPr>
                <w:rStyle w:val="c6"/>
                <w:sz w:val="22"/>
                <w:szCs w:val="22"/>
              </w:rPr>
              <w:t>tiks papildināta ar precīzāku vēsturisko</w:t>
            </w:r>
            <w:r>
              <w:rPr>
                <w:rStyle w:val="c6"/>
                <w:sz w:val="22"/>
                <w:szCs w:val="22"/>
              </w:rPr>
              <w:t xml:space="preserve"> </w:t>
            </w:r>
            <w:r w:rsidRPr="00EA2D1C">
              <w:rPr>
                <w:rStyle w:val="c6"/>
                <w:sz w:val="22"/>
                <w:szCs w:val="22"/>
              </w:rPr>
              <w:t xml:space="preserve">informāciju 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362745">
            <w:pPr>
              <w:spacing w:before="60"/>
            </w:pPr>
            <w:r w:rsidRPr="00EA2D1C">
              <w:t>10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Tehniski organizatoriskie darbi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  <w:textAlignment w:val="top"/>
            </w:pPr>
            <w:r w:rsidRPr="00EA2D1C">
              <w:rPr>
                <w:sz w:val="22"/>
                <w:szCs w:val="22"/>
              </w:rPr>
              <w:t>Lai sekmīgi īstenotu MK 2019. gada Komisijas darbu plāna izpildi, nepieciešams tehniski organizēt pasākumu izpildi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Šie darbi nodrošinās komisijas 2018. gada darbu plāna sekmīgu īstenošanu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 w:rsidRPr="00EA2D1C">
              <w:t>10.1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Tehniski organizatoriskie darbi fiziskai personai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  <w:ind w:left="176" w:right="-134" w:hanging="142"/>
              <w:textAlignment w:val="top"/>
              <w:rPr>
                <w:noProof/>
              </w:rPr>
            </w:pPr>
            <w:r w:rsidRPr="00EA2D1C">
              <w:rPr>
                <w:sz w:val="22"/>
                <w:szCs w:val="22"/>
              </w:rPr>
              <w:t>1. Kopā ar ekspertiem izstrādāt tehniskās specifikācijas pretendentiem un apzināt pētniecības darbā iesaistāmos attiecīgu jomu speciālistus;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>2. Izstrādāt priekšlikumus par Komisijas mājaslapā ievietojamu informāciju, par tulkojamiem tekstiem u.c. Sastādīt darba plānu par sagatavotās informācijas ievietošanu Komisijas mājaslapā un kontrolēt tā izpildi;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 xml:space="preserve">3. Nodrošināt Komisijas mājaslapas domēna </w:t>
            </w:r>
            <w:hyperlink r:id="rId12" w:history="1">
              <w:r w:rsidRPr="00EA2D1C">
                <w:rPr>
                  <w:rStyle w:val="Hyperlink"/>
                  <w:color w:val="auto"/>
                  <w:sz w:val="22"/>
                  <w:szCs w:val="22"/>
                </w:rPr>
                <w:t>www.okupacijaszaudejumi.lv</w:t>
              </w:r>
            </w:hyperlink>
            <w:r w:rsidRPr="00EA2D1C">
              <w:rPr>
                <w:sz w:val="22"/>
                <w:szCs w:val="22"/>
              </w:rPr>
              <w:t xml:space="preserve"> abonēšanu;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>4. Veikt tehniski-organizatoriskos darbus starptautiskās konferences organizēšanā (5.p.);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 xml:space="preserve">5. Apzināt trīs intervējamo personu loku, saskaņot tos ar Komisiju un organizēt interviju norisi; 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>6. Kontrolēt līgumdarbu izpildes gaitu un termiņus;</w:t>
            </w:r>
          </w:p>
          <w:p w:rsidR="005A317F" w:rsidRPr="00EA2D1C" w:rsidRDefault="005A317F" w:rsidP="00737BE4">
            <w:pPr>
              <w:spacing w:before="60"/>
              <w:ind w:left="176" w:hanging="142"/>
            </w:pPr>
            <w:r w:rsidRPr="00EA2D1C">
              <w:rPr>
                <w:sz w:val="22"/>
                <w:szCs w:val="22"/>
              </w:rPr>
              <w:t>7. Nodrošināt Komisijas pārstāvju un ārvalstu ekspertu rezultatīva darba norisi tikšanās laikā.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t>x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 w:rsidRPr="00EA2D1C">
              <w:t>10.2</w:t>
            </w:r>
          </w:p>
        </w:tc>
        <w:tc>
          <w:tcPr>
            <w:tcW w:w="3714" w:type="dxa"/>
          </w:tcPr>
          <w:p w:rsidR="005A317F" w:rsidRPr="00EA2D1C" w:rsidRDefault="005A317F" w:rsidP="00737BE4">
            <w:pPr>
              <w:spacing w:before="60"/>
            </w:pPr>
            <w:r w:rsidRPr="00EA2D1C">
              <w:t>Tehniski organizatoriskie darbi juridiskai personai</w:t>
            </w:r>
          </w:p>
        </w:tc>
        <w:tc>
          <w:tcPr>
            <w:tcW w:w="5022" w:type="dxa"/>
          </w:tcPr>
          <w:p w:rsidR="005A317F" w:rsidRPr="00EA2D1C" w:rsidRDefault="005A317F" w:rsidP="00737BE4">
            <w:pPr>
              <w:spacing w:before="60"/>
              <w:textAlignment w:val="top"/>
            </w:pPr>
            <w:r w:rsidRPr="00EA2D1C">
              <w:rPr>
                <w:sz w:val="22"/>
                <w:szCs w:val="22"/>
              </w:rPr>
              <w:t>Tehniski nodrošināt sadarbību ar ārvalstu institūcijām un atsevišķiem speciālistiem (komandējumu, viesnīcu organizēšana un apmaksa)</w:t>
            </w:r>
          </w:p>
        </w:tc>
        <w:tc>
          <w:tcPr>
            <w:tcW w:w="5353" w:type="dxa"/>
          </w:tcPr>
          <w:p w:rsidR="005A317F" w:rsidRPr="00EA2D1C" w:rsidRDefault="005A317F" w:rsidP="00737BE4">
            <w:pPr>
              <w:spacing w:before="60"/>
            </w:pPr>
            <w:r w:rsidRPr="00EA2D1C">
              <w:rPr>
                <w:sz w:val="22"/>
                <w:szCs w:val="22"/>
              </w:rPr>
              <w:t>x</w:t>
            </w:r>
          </w:p>
        </w:tc>
      </w:tr>
      <w:tr w:rsidR="005A317F" w:rsidRPr="00EA2D1C" w:rsidTr="00595B3B">
        <w:trPr>
          <w:jc w:val="center"/>
        </w:trPr>
        <w:tc>
          <w:tcPr>
            <w:tcW w:w="696" w:type="dxa"/>
          </w:tcPr>
          <w:p w:rsidR="005A317F" w:rsidRPr="00EA2D1C" w:rsidRDefault="005A317F" w:rsidP="005C0361">
            <w:pPr>
              <w:spacing w:before="60"/>
              <w:jc w:val="right"/>
            </w:pPr>
            <w:r>
              <w:t>10.3.</w:t>
            </w:r>
          </w:p>
        </w:tc>
        <w:tc>
          <w:tcPr>
            <w:tcW w:w="3714" w:type="dxa"/>
          </w:tcPr>
          <w:p w:rsidR="005A317F" w:rsidRPr="00EA2D1C" w:rsidRDefault="005A317F" w:rsidP="00651A59">
            <w:pPr>
              <w:pStyle w:val="c4"/>
              <w:spacing w:before="6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Žurnāla „Jurista vārds” Nr. 34 iegāde (300 eksemplāri)</w:t>
            </w:r>
          </w:p>
        </w:tc>
        <w:tc>
          <w:tcPr>
            <w:tcW w:w="5022" w:type="dxa"/>
          </w:tcPr>
          <w:p w:rsidR="005A317F" w:rsidRPr="008E5F5B" w:rsidRDefault="005A317F" w:rsidP="00651A59">
            <w:pPr>
              <w:spacing w:before="60"/>
            </w:pPr>
            <w:r>
              <w:t>Viss 27.08.2019. izdotais žurnāla „Jurista vārds” Nr. 34 ir veltīts tēmai „Kā aprēķināt PSRS okupācijas radītos zaudējumus un pieprasīt to kompensāciju”</w:t>
            </w:r>
          </w:p>
        </w:tc>
        <w:tc>
          <w:tcPr>
            <w:tcW w:w="5353" w:type="dxa"/>
          </w:tcPr>
          <w:p w:rsidR="005A317F" w:rsidRPr="00EA2D1C" w:rsidRDefault="005A317F" w:rsidP="00651A59">
            <w:pPr>
              <w:pStyle w:val="c7"/>
              <w:spacing w:before="6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 xml:space="preserve">Žurnāls nepieciešams tālākam komisijas darbam juridisko jautājumu risināšanā, kā arī sadarbības partneru informēšanā par PSRS okupācijas radīto zaudējumu aprēķināšanas juridiskajiem aspektiem </w:t>
            </w:r>
          </w:p>
        </w:tc>
      </w:tr>
      <w:tr w:rsidR="005A317F" w:rsidRPr="00EA2D1C" w:rsidTr="00595B3B">
        <w:trPr>
          <w:trHeight w:val="465"/>
          <w:jc w:val="center"/>
        </w:trPr>
        <w:tc>
          <w:tcPr>
            <w:tcW w:w="14785" w:type="dxa"/>
            <w:gridSpan w:val="4"/>
          </w:tcPr>
          <w:p w:rsidR="005A317F" w:rsidRPr="00EA2D1C" w:rsidRDefault="005A317F" w:rsidP="00737BE4">
            <w:pPr>
              <w:pStyle w:val="c7"/>
              <w:spacing w:before="60" w:beforeAutospacing="0" w:after="0" w:afterAutospacing="0"/>
              <w:jc w:val="right"/>
              <w:rPr>
                <w:rStyle w:val="c6"/>
                <w:b/>
                <w:bCs/>
              </w:rPr>
            </w:pPr>
            <w:r w:rsidRPr="00EA2D1C">
              <w:rPr>
                <w:rStyle w:val="c6"/>
                <w:b/>
                <w:bCs/>
                <w:sz w:val="22"/>
                <w:szCs w:val="22"/>
              </w:rPr>
              <w:t>Kopā:</w:t>
            </w:r>
            <w:r>
              <w:rPr>
                <w:rStyle w:val="c6"/>
                <w:b/>
                <w:bCs/>
                <w:sz w:val="22"/>
                <w:szCs w:val="22"/>
              </w:rPr>
              <w:t xml:space="preserve"> 35 770 EUR </w:t>
            </w:r>
            <w:r w:rsidRPr="00EA2D1C">
              <w:rPr>
                <w:rStyle w:val="c6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A317F" w:rsidRPr="00EA2D1C" w:rsidRDefault="005A317F" w:rsidP="001D57AA">
      <w:pPr>
        <w:ind w:firstLine="720"/>
        <w:rPr>
          <w:sz w:val="20"/>
          <w:szCs w:val="20"/>
        </w:rPr>
      </w:pPr>
    </w:p>
    <w:p w:rsidR="005A317F" w:rsidRDefault="005A317F" w:rsidP="001D57AA">
      <w:pPr>
        <w:ind w:firstLine="720"/>
        <w:rPr>
          <w:sz w:val="20"/>
          <w:szCs w:val="20"/>
        </w:rPr>
      </w:pPr>
      <w:r w:rsidRPr="00EA2D1C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EA2D1C">
        <w:rPr>
          <w:sz w:val="20"/>
          <w:szCs w:val="20"/>
        </w:rPr>
        <w:t>Pazdere,</w:t>
      </w:r>
    </w:p>
    <w:p w:rsidR="005A317F" w:rsidRPr="00EA2D1C" w:rsidRDefault="005A317F" w:rsidP="001D57AA">
      <w:pPr>
        <w:ind w:firstLine="720"/>
        <w:rPr>
          <w:b/>
          <w:bCs/>
          <w:sz w:val="22"/>
          <w:szCs w:val="22"/>
        </w:rPr>
      </w:pPr>
      <w:r w:rsidRPr="00EA2D1C">
        <w:rPr>
          <w:sz w:val="20"/>
          <w:szCs w:val="20"/>
        </w:rPr>
        <w:t>29521934</w:t>
      </w:r>
    </w:p>
    <w:p w:rsidR="005A317F" w:rsidRDefault="005A317F" w:rsidP="001D57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22.10</w:t>
      </w:r>
      <w:r w:rsidRPr="00EA2D1C">
        <w:rPr>
          <w:sz w:val="20"/>
          <w:szCs w:val="20"/>
        </w:rPr>
        <w:t>.2019.</w:t>
      </w:r>
    </w:p>
    <w:sectPr w:rsidR="005A317F" w:rsidSect="005E267E">
      <w:headerReference w:type="default" r:id="rId13"/>
      <w:footerReference w:type="default" r:id="rId14"/>
      <w:pgSz w:w="16838" w:h="11906" w:orient="landscape"/>
      <w:pgMar w:top="1418" w:right="851" w:bottom="567" w:left="851" w:header="709" w:footer="533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7F" w:rsidRDefault="005A317F" w:rsidP="00CB7877">
      <w:pPr>
        <w:pStyle w:val="NormalWeb"/>
      </w:pPr>
      <w:r>
        <w:separator/>
      </w:r>
    </w:p>
  </w:endnote>
  <w:endnote w:type="continuationSeparator" w:id="1">
    <w:p w:rsidR="005A317F" w:rsidRDefault="005A317F" w:rsidP="00CB7877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F" w:rsidRPr="00E10F5E" w:rsidRDefault="005A317F" w:rsidP="00E10F5E">
    <w:pPr>
      <w:pStyle w:val="Footer"/>
      <w:ind w:right="360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7F" w:rsidRDefault="005A317F" w:rsidP="00CB7877">
      <w:pPr>
        <w:pStyle w:val="NormalWeb"/>
      </w:pPr>
      <w:r>
        <w:separator/>
      </w:r>
    </w:p>
  </w:footnote>
  <w:footnote w:type="continuationSeparator" w:id="1">
    <w:p w:rsidR="005A317F" w:rsidRDefault="005A317F" w:rsidP="00CB7877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F" w:rsidRDefault="005A317F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DBC"/>
    <w:multiLevelType w:val="hybridMultilevel"/>
    <w:tmpl w:val="F4D8A00A"/>
    <w:lvl w:ilvl="0" w:tplc="405A3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107891"/>
    <w:multiLevelType w:val="hybridMultilevel"/>
    <w:tmpl w:val="601E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D0F"/>
    <w:rsid w:val="00002747"/>
    <w:rsid w:val="000030B6"/>
    <w:rsid w:val="00003750"/>
    <w:rsid w:val="000109BA"/>
    <w:rsid w:val="00010EE8"/>
    <w:rsid w:val="00013259"/>
    <w:rsid w:val="00015958"/>
    <w:rsid w:val="00017C39"/>
    <w:rsid w:val="00024773"/>
    <w:rsid w:val="00025DBD"/>
    <w:rsid w:val="00027BC4"/>
    <w:rsid w:val="00034EBE"/>
    <w:rsid w:val="00045E69"/>
    <w:rsid w:val="00053B3A"/>
    <w:rsid w:val="00053DA8"/>
    <w:rsid w:val="000554D3"/>
    <w:rsid w:val="00055E06"/>
    <w:rsid w:val="00060232"/>
    <w:rsid w:val="000627E4"/>
    <w:rsid w:val="00064CBA"/>
    <w:rsid w:val="0006582E"/>
    <w:rsid w:val="000674F1"/>
    <w:rsid w:val="00070D2B"/>
    <w:rsid w:val="000725C7"/>
    <w:rsid w:val="00076ACC"/>
    <w:rsid w:val="00081395"/>
    <w:rsid w:val="00082157"/>
    <w:rsid w:val="00090B1E"/>
    <w:rsid w:val="00093FA4"/>
    <w:rsid w:val="000B1610"/>
    <w:rsid w:val="000B2B2F"/>
    <w:rsid w:val="000B4447"/>
    <w:rsid w:val="000C0496"/>
    <w:rsid w:val="000C211F"/>
    <w:rsid w:val="000C21A4"/>
    <w:rsid w:val="000C2F6F"/>
    <w:rsid w:val="000D56DE"/>
    <w:rsid w:val="000D578D"/>
    <w:rsid w:val="000D6005"/>
    <w:rsid w:val="000D63B0"/>
    <w:rsid w:val="000E005F"/>
    <w:rsid w:val="000E5A78"/>
    <w:rsid w:val="000F6ADC"/>
    <w:rsid w:val="00117C16"/>
    <w:rsid w:val="00122997"/>
    <w:rsid w:val="00123D78"/>
    <w:rsid w:val="00125401"/>
    <w:rsid w:val="00132BE5"/>
    <w:rsid w:val="00143B9D"/>
    <w:rsid w:val="001449A1"/>
    <w:rsid w:val="00145962"/>
    <w:rsid w:val="00154262"/>
    <w:rsid w:val="0015488D"/>
    <w:rsid w:val="00154D21"/>
    <w:rsid w:val="001562E8"/>
    <w:rsid w:val="00167657"/>
    <w:rsid w:val="001714C2"/>
    <w:rsid w:val="00174D9E"/>
    <w:rsid w:val="001751B4"/>
    <w:rsid w:val="0017634D"/>
    <w:rsid w:val="0017685A"/>
    <w:rsid w:val="00190632"/>
    <w:rsid w:val="00197AE4"/>
    <w:rsid w:val="001A074A"/>
    <w:rsid w:val="001B118C"/>
    <w:rsid w:val="001B1242"/>
    <w:rsid w:val="001B4EEE"/>
    <w:rsid w:val="001B5350"/>
    <w:rsid w:val="001C063F"/>
    <w:rsid w:val="001C15E8"/>
    <w:rsid w:val="001C530E"/>
    <w:rsid w:val="001C5A99"/>
    <w:rsid w:val="001C6213"/>
    <w:rsid w:val="001C63FF"/>
    <w:rsid w:val="001C6998"/>
    <w:rsid w:val="001D11D6"/>
    <w:rsid w:val="001D1B5B"/>
    <w:rsid w:val="001D4E97"/>
    <w:rsid w:val="001D57AA"/>
    <w:rsid w:val="001D7275"/>
    <w:rsid w:val="001E255E"/>
    <w:rsid w:val="001E3FB6"/>
    <w:rsid w:val="001E7644"/>
    <w:rsid w:val="001F08B6"/>
    <w:rsid w:val="001F4F7E"/>
    <w:rsid w:val="001F6B43"/>
    <w:rsid w:val="00200928"/>
    <w:rsid w:val="00204E43"/>
    <w:rsid w:val="002054A8"/>
    <w:rsid w:val="00205908"/>
    <w:rsid w:val="00214919"/>
    <w:rsid w:val="00225845"/>
    <w:rsid w:val="002273EF"/>
    <w:rsid w:val="00232387"/>
    <w:rsid w:val="00233C84"/>
    <w:rsid w:val="002352E8"/>
    <w:rsid w:val="00236850"/>
    <w:rsid w:val="00237894"/>
    <w:rsid w:val="00237DD8"/>
    <w:rsid w:val="00240AD1"/>
    <w:rsid w:val="00242AD0"/>
    <w:rsid w:val="002433F3"/>
    <w:rsid w:val="0025029A"/>
    <w:rsid w:val="002525F3"/>
    <w:rsid w:val="002651B1"/>
    <w:rsid w:val="00273BC9"/>
    <w:rsid w:val="0027577C"/>
    <w:rsid w:val="0027778F"/>
    <w:rsid w:val="0028178D"/>
    <w:rsid w:val="00282A59"/>
    <w:rsid w:val="002876A1"/>
    <w:rsid w:val="00287E2D"/>
    <w:rsid w:val="00291788"/>
    <w:rsid w:val="002924E9"/>
    <w:rsid w:val="002A4738"/>
    <w:rsid w:val="002A7267"/>
    <w:rsid w:val="002A7848"/>
    <w:rsid w:val="002B1077"/>
    <w:rsid w:val="002B1818"/>
    <w:rsid w:val="002B6C47"/>
    <w:rsid w:val="002B7DD9"/>
    <w:rsid w:val="002C4354"/>
    <w:rsid w:val="002C4AB1"/>
    <w:rsid w:val="002D1E49"/>
    <w:rsid w:val="002E0613"/>
    <w:rsid w:val="002E2DBC"/>
    <w:rsid w:val="002E3649"/>
    <w:rsid w:val="002E4BD6"/>
    <w:rsid w:val="002E4FC3"/>
    <w:rsid w:val="002E5531"/>
    <w:rsid w:val="002F481E"/>
    <w:rsid w:val="002F7DB7"/>
    <w:rsid w:val="003004CA"/>
    <w:rsid w:val="0030129F"/>
    <w:rsid w:val="00301F7A"/>
    <w:rsid w:val="00305D6F"/>
    <w:rsid w:val="00313FC1"/>
    <w:rsid w:val="00315A41"/>
    <w:rsid w:val="00326787"/>
    <w:rsid w:val="00330C23"/>
    <w:rsid w:val="00332DC7"/>
    <w:rsid w:val="00333C06"/>
    <w:rsid w:val="003378BB"/>
    <w:rsid w:val="00340FA2"/>
    <w:rsid w:val="00341804"/>
    <w:rsid w:val="00342461"/>
    <w:rsid w:val="00354C61"/>
    <w:rsid w:val="00361C05"/>
    <w:rsid w:val="00362370"/>
    <w:rsid w:val="00362745"/>
    <w:rsid w:val="00366340"/>
    <w:rsid w:val="00366DC3"/>
    <w:rsid w:val="00367D75"/>
    <w:rsid w:val="00370C95"/>
    <w:rsid w:val="00373547"/>
    <w:rsid w:val="003768FD"/>
    <w:rsid w:val="00376EB7"/>
    <w:rsid w:val="0037781E"/>
    <w:rsid w:val="00383809"/>
    <w:rsid w:val="00384122"/>
    <w:rsid w:val="0038493B"/>
    <w:rsid w:val="003A1956"/>
    <w:rsid w:val="003B3C3E"/>
    <w:rsid w:val="003B4B13"/>
    <w:rsid w:val="003B560B"/>
    <w:rsid w:val="003B7776"/>
    <w:rsid w:val="003D0A47"/>
    <w:rsid w:val="003D395C"/>
    <w:rsid w:val="003D4879"/>
    <w:rsid w:val="003D6D49"/>
    <w:rsid w:val="003E5FAD"/>
    <w:rsid w:val="003F4492"/>
    <w:rsid w:val="003F5BB0"/>
    <w:rsid w:val="003F5BBA"/>
    <w:rsid w:val="00404732"/>
    <w:rsid w:val="00406B5D"/>
    <w:rsid w:val="004120FF"/>
    <w:rsid w:val="004141DC"/>
    <w:rsid w:val="00416E95"/>
    <w:rsid w:val="0042211F"/>
    <w:rsid w:val="004352A5"/>
    <w:rsid w:val="004358CE"/>
    <w:rsid w:val="004368F5"/>
    <w:rsid w:val="00436D46"/>
    <w:rsid w:val="00443DCA"/>
    <w:rsid w:val="00451173"/>
    <w:rsid w:val="0045281D"/>
    <w:rsid w:val="00452DF1"/>
    <w:rsid w:val="0045718E"/>
    <w:rsid w:val="00460BF6"/>
    <w:rsid w:val="00464663"/>
    <w:rsid w:val="00475455"/>
    <w:rsid w:val="004908DE"/>
    <w:rsid w:val="00490F16"/>
    <w:rsid w:val="00491E08"/>
    <w:rsid w:val="004931E5"/>
    <w:rsid w:val="004947C6"/>
    <w:rsid w:val="004A4138"/>
    <w:rsid w:val="004B338C"/>
    <w:rsid w:val="004C1B56"/>
    <w:rsid w:val="004C2EE8"/>
    <w:rsid w:val="004C5AFC"/>
    <w:rsid w:val="004D28C8"/>
    <w:rsid w:val="004D3084"/>
    <w:rsid w:val="004E5E9B"/>
    <w:rsid w:val="004F0CF2"/>
    <w:rsid w:val="004F33B1"/>
    <w:rsid w:val="004F3859"/>
    <w:rsid w:val="004F41D6"/>
    <w:rsid w:val="004F6FB4"/>
    <w:rsid w:val="00502CAE"/>
    <w:rsid w:val="00504093"/>
    <w:rsid w:val="00504E9D"/>
    <w:rsid w:val="005050FF"/>
    <w:rsid w:val="0050735A"/>
    <w:rsid w:val="0050794B"/>
    <w:rsid w:val="005105EF"/>
    <w:rsid w:val="005142CE"/>
    <w:rsid w:val="00515D98"/>
    <w:rsid w:val="005200C2"/>
    <w:rsid w:val="00521A7B"/>
    <w:rsid w:val="005275CE"/>
    <w:rsid w:val="00533B98"/>
    <w:rsid w:val="00535B92"/>
    <w:rsid w:val="005428A6"/>
    <w:rsid w:val="00543226"/>
    <w:rsid w:val="00545E6B"/>
    <w:rsid w:val="00546353"/>
    <w:rsid w:val="00547BDF"/>
    <w:rsid w:val="00547CA7"/>
    <w:rsid w:val="00552014"/>
    <w:rsid w:val="0055294F"/>
    <w:rsid w:val="00553935"/>
    <w:rsid w:val="005547D8"/>
    <w:rsid w:val="00555C90"/>
    <w:rsid w:val="0055634F"/>
    <w:rsid w:val="005570A7"/>
    <w:rsid w:val="00560A9C"/>
    <w:rsid w:val="005620D3"/>
    <w:rsid w:val="00562FB5"/>
    <w:rsid w:val="00564FFC"/>
    <w:rsid w:val="00577DAA"/>
    <w:rsid w:val="00577E66"/>
    <w:rsid w:val="00581CF8"/>
    <w:rsid w:val="00583BB1"/>
    <w:rsid w:val="005944CB"/>
    <w:rsid w:val="00595110"/>
    <w:rsid w:val="005959EA"/>
    <w:rsid w:val="00595B3B"/>
    <w:rsid w:val="005A317F"/>
    <w:rsid w:val="005A40A0"/>
    <w:rsid w:val="005A7947"/>
    <w:rsid w:val="005B1868"/>
    <w:rsid w:val="005B2F1C"/>
    <w:rsid w:val="005C0361"/>
    <w:rsid w:val="005C1ECE"/>
    <w:rsid w:val="005C34B1"/>
    <w:rsid w:val="005C4F7C"/>
    <w:rsid w:val="005C5C81"/>
    <w:rsid w:val="005D3A5B"/>
    <w:rsid w:val="005D7033"/>
    <w:rsid w:val="005E22C0"/>
    <w:rsid w:val="005E267E"/>
    <w:rsid w:val="005E2AC1"/>
    <w:rsid w:val="005E5C77"/>
    <w:rsid w:val="005F4F39"/>
    <w:rsid w:val="005F5B21"/>
    <w:rsid w:val="006004A1"/>
    <w:rsid w:val="006064A9"/>
    <w:rsid w:val="00611464"/>
    <w:rsid w:val="00613594"/>
    <w:rsid w:val="00614C0E"/>
    <w:rsid w:val="006232B1"/>
    <w:rsid w:val="00624908"/>
    <w:rsid w:val="00626C44"/>
    <w:rsid w:val="00627D3F"/>
    <w:rsid w:val="00630659"/>
    <w:rsid w:val="006328EC"/>
    <w:rsid w:val="00644456"/>
    <w:rsid w:val="00644C29"/>
    <w:rsid w:val="00645CD9"/>
    <w:rsid w:val="00651A59"/>
    <w:rsid w:val="00651E7F"/>
    <w:rsid w:val="00681963"/>
    <w:rsid w:val="00683D37"/>
    <w:rsid w:val="00683E45"/>
    <w:rsid w:val="00683F2B"/>
    <w:rsid w:val="0069773E"/>
    <w:rsid w:val="006978ED"/>
    <w:rsid w:val="006A10D7"/>
    <w:rsid w:val="006A206B"/>
    <w:rsid w:val="006A3ECC"/>
    <w:rsid w:val="006A4503"/>
    <w:rsid w:val="006A4AE4"/>
    <w:rsid w:val="006A5B70"/>
    <w:rsid w:val="006B2532"/>
    <w:rsid w:val="006B6711"/>
    <w:rsid w:val="006B7690"/>
    <w:rsid w:val="006C25DF"/>
    <w:rsid w:val="006C526B"/>
    <w:rsid w:val="006D5093"/>
    <w:rsid w:val="006D50D5"/>
    <w:rsid w:val="006D5460"/>
    <w:rsid w:val="006E61C6"/>
    <w:rsid w:val="006E7EE2"/>
    <w:rsid w:val="006F3441"/>
    <w:rsid w:val="006F527F"/>
    <w:rsid w:val="006F5630"/>
    <w:rsid w:val="007053C7"/>
    <w:rsid w:val="00705A9E"/>
    <w:rsid w:val="0070609B"/>
    <w:rsid w:val="00707A79"/>
    <w:rsid w:val="00717E8F"/>
    <w:rsid w:val="0072227E"/>
    <w:rsid w:val="007229B8"/>
    <w:rsid w:val="00723E37"/>
    <w:rsid w:val="00732419"/>
    <w:rsid w:val="007326C6"/>
    <w:rsid w:val="00737BE4"/>
    <w:rsid w:val="007446AC"/>
    <w:rsid w:val="007516C3"/>
    <w:rsid w:val="00761B7B"/>
    <w:rsid w:val="00771EC8"/>
    <w:rsid w:val="007849BD"/>
    <w:rsid w:val="00791252"/>
    <w:rsid w:val="00792090"/>
    <w:rsid w:val="007A42AD"/>
    <w:rsid w:val="007B2B30"/>
    <w:rsid w:val="007C2B27"/>
    <w:rsid w:val="007C5154"/>
    <w:rsid w:val="007C5A66"/>
    <w:rsid w:val="007D08CB"/>
    <w:rsid w:val="007D10D1"/>
    <w:rsid w:val="007D1817"/>
    <w:rsid w:val="007D2F53"/>
    <w:rsid w:val="007D3418"/>
    <w:rsid w:val="007D514C"/>
    <w:rsid w:val="007D69DF"/>
    <w:rsid w:val="007E0FFB"/>
    <w:rsid w:val="007E1ED7"/>
    <w:rsid w:val="007E3512"/>
    <w:rsid w:val="007E396B"/>
    <w:rsid w:val="007E4D2C"/>
    <w:rsid w:val="007E641C"/>
    <w:rsid w:val="007F5853"/>
    <w:rsid w:val="007F5FFC"/>
    <w:rsid w:val="007F6C03"/>
    <w:rsid w:val="00802320"/>
    <w:rsid w:val="00804727"/>
    <w:rsid w:val="0081224B"/>
    <w:rsid w:val="00813D48"/>
    <w:rsid w:val="008175D6"/>
    <w:rsid w:val="00835246"/>
    <w:rsid w:val="00835953"/>
    <w:rsid w:val="00842210"/>
    <w:rsid w:val="00845841"/>
    <w:rsid w:val="008608E4"/>
    <w:rsid w:val="00861CF8"/>
    <w:rsid w:val="00863226"/>
    <w:rsid w:val="0086555A"/>
    <w:rsid w:val="008661B9"/>
    <w:rsid w:val="008674D3"/>
    <w:rsid w:val="00870674"/>
    <w:rsid w:val="00871FD1"/>
    <w:rsid w:val="00877821"/>
    <w:rsid w:val="00881AA6"/>
    <w:rsid w:val="008870C2"/>
    <w:rsid w:val="00891970"/>
    <w:rsid w:val="008921A7"/>
    <w:rsid w:val="00892E5B"/>
    <w:rsid w:val="00894FE6"/>
    <w:rsid w:val="008A2036"/>
    <w:rsid w:val="008A6B21"/>
    <w:rsid w:val="008A7173"/>
    <w:rsid w:val="008B0E99"/>
    <w:rsid w:val="008B2FD0"/>
    <w:rsid w:val="008B71B2"/>
    <w:rsid w:val="008C1C72"/>
    <w:rsid w:val="008C3860"/>
    <w:rsid w:val="008C38AB"/>
    <w:rsid w:val="008C7F91"/>
    <w:rsid w:val="008D1DC1"/>
    <w:rsid w:val="008D64E9"/>
    <w:rsid w:val="008E305D"/>
    <w:rsid w:val="008E5DE1"/>
    <w:rsid w:val="008E5F5B"/>
    <w:rsid w:val="008F2BCD"/>
    <w:rsid w:val="00900539"/>
    <w:rsid w:val="00903159"/>
    <w:rsid w:val="0090376B"/>
    <w:rsid w:val="0090682E"/>
    <w:rsid w:val="0091013A"/>
    <w:rsid w:val="0091025C"/>
    <w:rsid w:val="009132B2"/>
    <w:rsid w:val="009133E6"/>
    <w:rsid w:val="00914782"/>
    <w:rsid w:val="00915F45"/>
    <w:rsid w:val="00916AE8"/>
    <w:rsid w:val="009278C8"/>
    <w:rsid w:val="00927CF2"/>
    <w:rsid w:val="00931D7E"/>
    <w:rsid w:val="00936856"/>
    <w:rsid w:val="00943D04"/>
    <w:rsid w:val="00943EB6"/>
    <w:rsid w:val="00946332"/>
    <w:rsid w:val="0095071E"/>
    <w:rsid w:val="00955A8B"/>
    <w:rsid w:val="00965068"/>
    <w:rsid w:val="0097003A"/>
    <w:rsid w:val="0097067D"/>
    <w:rsid w:val="009714AE"/>
    <w:rsid w:val="009744A6"/>
    <w:rsid w:val="00976279"/>
    <w:rsid w:val="009977FE"/>
    <w:rsid w:val="00997B60"/>
    <w:rsid w:val="009A0B8B"/>
    <w:rsid w:val="009A4A15"/>
    <w:rsid w:val="009A74AD"/>
    <w:rsid w:val="009B59AE"/>
    <w:rsid w:val="009B5F0A"/>
    <w:rsid w:val="009C413F"/>
    <w:rsid w:val="009C551C"/>
    <w:rsid w:val="009C5654"/>
    <w:rsid w:val="009C7397"/>
    <w:rsid w:val="009D137B"/>
    <w:rsid w:val="009E19C4"/>
    <w:rsid w:val="009E23CB"/>
    <w:rsid w:val="009E37F1"/>
    <w:rsid w:val="009E764C"/>
    <w:rsid w:val="009F0439"/>
    <w:rsid w:val="009F0CBA"/>
    <w:rsid w:val="009F39B2"/>
    <w:rsid w:val="009F76B0"/>
    <w:rsid w:val="00A00A9E"/>
    <w:rsid w:val="00A034DE"/>
    <w:rsid w:val="00A12CD8"/>
    <w:rsid w:val="00A16739"/>
    <w:rsid w:val="00A201B0"/>
    <w:rsid w:val="00A219D3"/>
    <w:rsid w:val="00A23172"/>
    <w:rsid w:val="00A240E6"/>
    <w:rsid w:val="00A24D7F"/>
    <w:rsid w:val="00A26EC6"/>
    <w:rsid w:val="00A345C1"/>
    <w:rsid w:val="00A36FA2"/>
    <w:rsid w:val="00A43473"/>
    <w:rsid w:val="00A4459E"/>
    <w:rsid w:val="00A46A04"/>
    <w:rsid w:val="00A55465"/>
    <w:rsid w:val="00A5588A"/>
    <w:rsid w:val="00A562F0"/>
    <w:rsid w:val="00A60AA1"/>
    <w:rsid w:val="00A63B5E"/>
    <w:rsid w:val="00A65023"/>
    <w:rsid w:val="00A74329"/>
    <w:rsid w:val="00A748BB"/>
    <w:rsid w:val="00A76FE1"/>
    <w:rsid w:val="00A81139"/>
    <w:rsid w:val="00A845A9"/>
    <w:rsid w:val="00A85ADD"/>
    <w:rsid w:val="00A90F8B"/>
    <w:rsid w:val="00A95070"/>
    <w:rsid w:val="00A95161"/>
    <w:rsid w:val="00A95C99"/>
    <w:rsid w:val="00A97A87"/>
    <w:rsid w:val="00AA0C0F"/>
    <w:rsid w:val="00AA160D"/>
    <w:rsid w:val="00AA1FBD"/>
    <w:rsid w:val="00AA3352"/>
    <w:rsid w:val="00AA3BA0"/>
    <w:rsid w:val="00AA4DFA"/>
    <w:rsid w:val="00AA7494"/>
    <w:rsid w:val="00AB08CB"/>
    <w:rsid w:val="00AB722C"/>
    <w:rsid w:val="00AC098C"/>
    <w:rsid w:val="00AC6AB6"/>
    <w:rsid w:val="00AD0FB5"/>
    <w:rsid w:val="00AD4CD7"/>
    <w:rsid w:val="00AD5D41"/>
    <w:rsid w:val="00AD65CA"/>
    <w:rsid w:val="00AE698D"/>
    <w:rsid w:val="00AF611B"/>
    <w:rsid w:val="00B0127B"/>
    <w:rsid w:val="00B03AB8"/>
    <w:rsid w:val="00B0594B"/>
    <w:rsid w:val="00B06E68"/>
    <w:rsid w:val="00B1080D"/>
    <w:rsid w:val="00B10846"/>
    <w:rsid w:val="00B12805"/>
    <w:rsid w:val="00B2112B"/>
    <w:rsid w:val="00B21F65"/>
    <w:rsid w:val="00B24635"/>
    <w:rsid w:val="00B33C53"/>
    <w:rsid w:val="00B37FE0"/>
    <w:rsid w:val="00B41408"/>
    <w:rsid w:val="00B419FA"/>
    <w:rsid w:val="00B463F2"/>
    <w:rsid w:val="00B51246"/>
    <w:rsid w:val="00B55820"/>
    <w:rsid w:val="00B55B90"/>
    <w:rsid w:val="00B612E1"/>
    <w:rsid w:val="00B64280"/>
    <w:rsid w:val="00B679F7"/>
    <w:rsid w:val="00B71CD3"/>
    <w:rsid w:val="00B749B0"/>
    <w:rsid w:val="00B80C9A"/>
    <w:rsid w:val="00B820F4"/>
    <w:rsid w:val="00B875ED"/>
    <w:rsid w:val="00B87CF6"/>
    <w:rsid w:val="00B92C0E"/>
    <w:rsid w:val="00B92C5A"/>
    <w:rsid w:val="00B94BD5"/>
    <w:rsid w:val="00B956DB"/>
    <w:rsid w:val="00B957E0"/>
    <w:rsid w:val="00B96D28"/>
    <w:rsid w:val="00BA1A51"/>
    <w:rsid w:val="00BA3657"/>
    <w:rsid w:val="00BA6B81"/>
    <w:rsid w:val="00BA7A1C"/>
    <w:rsid w:val="00BB1E21"/>
    <w:rsid w:val="00BC42E9"/>
    <w:rsid w:val="00BD1840"/>
    <w:rsid w:val="00BD4B20"/>
    <w:rsid w:val="00BD7243"/>
    <w:rsid w:val="00BE2425"/>
    <w:rsid w:val="00BE2F20"/>
    <w:rsid w:val="00BE7866"/>
    <w:rsid w:val="00BE7C9F"/>
    <w:rsid w:val="00BF7E8F"/>
    <w:rsid w:val="00C01DAA"/>
    <w:rsid w:val="00C022A4"/>
    <w:rsid w:val="00C04E9C"/>
    <w:rsid w:val="00C10565"/>
    <w:rsid w:val="00C12E14"/>
    <w:rsid w:val="00C13DFA"/>
    <w:rsid w:val="00C231C7"/>
    <w:rsid w:val="00C272D5"/>
    <w:rsid w:val="00C30178"/>
    <w:rsid w:val="00C3128D"/>
    <w:rsid w:val="00C31357"/>
    <w:rsid w:val="00C326B3"/>
    <w:rsid w:val="00C43D0C"/>
    <w:rsid w:val="00C53E40"/>
    <w:rsid w:val="00C560D4"/>
    <w:rsid w:val="00C56A01"/>
    <w:rsid w:val="00C57360"/>
    <w:rsid w:val="00C615BF"/>
    <w:rsid w:val="00C644EC"/>
    <w:rsid w:val="00C661A7"/>
    <w:rsid w:val="00C6634E"/>
    <w:rsid w:val="00C7265F"/>
    <w:rsid w:val="00C76CB6"/>
    <w:rsid w:val="00C77F0A"/>
    <w:rsid w:val="00C92B62"/>
    <w:rsid w:val="00C94B66"/>
    <w:rsid w:val="00C94EB2"/>
    <w:rsid w:val="00C955CB"/>
    <w:rsid w:val="00CA0757"/>
    <w:rsid w:val="00CB0FD8"/>
    <w:rsid w:val="00CB2A4F"/>
    <w:rsid w:val="00CB7877"/>
    <w:rsid w:val="00CB7960"/>
    <w:rsid w:val="00CC1C5D"/>
    <w:rsid w:val="00CD39E9"/>
    <w:rsid w:val="00CF0814"/>
    <w:rsid w:val="00CF2CAC"/>
    <w:rsid w:val="00CF3E29"/>
    <w:rsid w:val="00CF6E0C"/>
    <w:rsid w:val="00D0154D"/>
    <w:rsid w:val="00D10F22"/>
    <w:rsid w:val="00D174B9"/>
    <w:rsid w:val="00D205FE"/>
    <w:rsid w:val="00D226B6"/>
    <w:rsid w:val="00D2700C"/>
    <w:rsid w:val="00D2750D"/>
    <w:rsid w:val="00D3377D"/>
    <w:rsid w:val="00D368B3"/>
    <w:rsid w:val="00D41D23"/>
    <w:rsid w:val="00D42A4B"/>
    <w:rsid w:val="00D4654D"/>
    <w:rsid w:val="00D516DB"/>
    <w:rsid w:val="00D5287A"/>
    <w:rsid w:val="00D534EB"/>
    <w:rsid w:val="00D543D9"/>
    <w:rsid w:val="00D609DE"/>
    <w:rsid w:val="00D728D8"/>
    <w:rsid w:val="00D7437C"/>
    <w:rsid w:val="00D758BA"/>
    <w:rsid w:val="00D7621B"/>
    <w:rsid w:val="00D767AD"/>
    <w:rsid w:val="00D77867"/>
    <w:rsid w:val="00D8472D"/>
    <w:rsid w:val="00D91D4E"/>
    <w:rsid w:val="00D96082"/>
    <w:rsid w:val="00D96C97"/>
    <w:rsid w:val="00D973B7"/>
    <w:rsid w:val="00DA0719"/>
    <w:rsid w:val="00DA0A58"/>
    <w:rsid w:val="00DA17B5"/>
    <w:rsid w:val="00DA3C45"/>
    <w:rsid w:val="00DA51A8"/>
    <w:rsid w:val="00DA7934"/>
    <w:rsid w:val="00DB6664"/>
    <w:rsid w:val="00DC08E8"/>
    <w:rsid w:val="00DC3542"/>
    <w:rsid w:val="00DC5132"/>
    <w:rsid w:val="00DD0157"/>
    <w:rsid w:val="00DD1039"/>
    <w:rsid w:val="00DD178F"/>
    <w:rsid w:val="00DD1AB1"/>
    <w:rsid w:val="00DE18BE"/>
    <w:rsid w:val="00DE685E"/>
    <w:rsid w:val="00DF2EFE"/>
    <w:rsid w:val="00DF512B"/>
    <w:rsid w:val="00E00650"/>
    <w:rsid w:val="00E01948"/>
    <w:rsid w:val="00E019B3"/>
    <w:rsid w:val="00E04767"/>
    <w:rsid w:val="00E10F5E"/>
    <w:rsid w:val="00E12316"/>
    <w:rsid w:val="00E127F0"/>
    <w:rsid w:val="00E2190D"/>
    <w:rsid w:val="00E240D2"/>
    <w:rsid w:val="00E262DE"/>
    <w:rsid w:val="00E31DCA"/>
    <w:rsid w:val="00E36344"/>
    <w:rsid w:val="00E41EE6"/>
    <w:rsid w:val="00E44132"/>
    <w:rsid w:val="00E52DB5"/>
    <w:rsid w:val="00E53A1C"/>
    <w:rsid w:val="00E543FA"/>
    <w:rsid w:val="00E5489C"/>
    <w:rsid w:val="00E60CB5"/>
    <w:rsid w:val="00E6347D"/>
    <w:rsid w:val="00E74074"/>
    <w:rsid w:val="00E75E2B"/>
    <w:rsid w:val="00E773D4"/>
    <w:rsid w:val="00E83973"/>
    <w:rsid w:val="00E928C6"/>
    <w:rsid w:val="00E938B0"/>
    <w:rsid w:val="00EA25A3"/>
    <w:rsid w:val="00EA2D1C"/>
    <w:rsid w:val="00EA55CD"/>
    <w:rsid w:val="00EB43C1"/>
    <w:rsid w:val="00EC545D"/>
    <w:rsid w:val="00EC5D2B"/>
    <w:rsid w:val="00EC7548"/>
    <w:rsid w:val="00ED7E0A"/>
    <w:rsid w:val="00EF3B57"/>
    <w:rsid w:val="00EF71F4"/>
    <w:rsid w:val="00F026FC"/>
    <w:rsid w:val="00F054D6"/>
    <w:rsid w:val="00F15449"/>
    <w:rsid w:val="00F16A20"/>
    <w:rsid w:val="00F1777C"/>
    <w:rsid w:val="00F20257"/>
    <w:rsid w:val="00F22D66"/>
    <w:rsid w:val="00F24246"/>
    <w:rsid w:val="00F2481E"/>
    <w:rsid w:val="00F25EC8"/>
    <w:rsid w:val="00F31BD7"/>
    <w:rsid w:val="00F32020"/>
    <w:rsid w:val="00F34BBD"/>
    <w:rsid w:val="00F34D44"/>
    <w:rsid w:val="00F41ACF"/>
    <w:rsid w:val="00F41F6D"/>
    <w:rsid w:val="00F42E7C"/>
    <w:rsid w:val="00F43084"/>
    <w:rsid w:val="00F4392C"/>
    <w:rsid w:val="00F43D0F"/>
    <w:rsid w:val="00F545C7"/>
    <w:rsid w:val="00F654CB"/>
    <w:rsid w:val="00F67D99"/>
    <w:rsid w:val="00F70C17"/>
    <w:rsid w:val="00F7157E"/>
    <w:rsid w:val="00F7344D"/>
    <w:rsid w:val="00F85BC5"/>
    <w:rsid w:val="00F8797A"/>
    <w:rsid w:val="00F902EC"/>
    <w:rsid w:val="00F9231A"/>
    <w:rsid w:val="00F935EF"/>
    <w:rsid w:val="00F943D4"/>
    <w:rsid w:val="00F979A6"/>
    <w:rsid w:val="00F979F4"/>
    <w:rsid w:val="00FA74F0"/>
    <w:rsid w:val="00FB0E81"/>
    <w:rsid w:val="00FB406D"/>
    <w:rsid w:val="00FB4D02"/>
    <w:rsid w:val="00FB7730"/>
    <w:rsid w:val="00FC626B"/>
    <w:rsid w:val="00FD29A3"/>
    <w:rsid w:val="00FD3305"/>
    <w:rsid w:val="00FD6D17"/>
    <w:rsid w:val="00FE039B"/>
    <w:rsid w:val="00FE092C"/>
    <w:rsid w:val="00FE160E"/>
    <w:rsid w:val="00FE341D"/>
    <w:rsid w:val="00FE4DFA"/>
    <w:rsid w:val="00FE62E8"/>
    <w:rsid w:val="00FF1017"/>
    <w:rsid w:val="00FF54D6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96C97"/>
    <w:pPr>
      <w:autoSpaceDE w:val="0"/>
      <w:autoSpaceDN w:val="0"/>
      <w:adjustRightInd w:val="0"/>
      <w:outlineLvl w:val="2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E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13F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43D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A195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B78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13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7877"/>
  </w:style>
  <w:style w:type="paragraph" w:styleId="Header">
    <w:name w:val="header"/>
    <w:basedOn w:val="Normal"/>
    <w:link w:val="HeaderChar1"/>
    <w:uiPriority w:val="99"/>
    <w:rsid w:val="00CB7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13F"/>
    <w:rPr>
      <w:sz w:val="24"/>
      <w:szCs w:val="24"/>
    </w:rPr>
  </w:style>
  <w:style w:type="character" w:styleId="Hyperlink">
    <w:name w:val="Hyperlink"/>
    <w:basedOn w:val="DefaultParagraphFont"/>
    <w:uiPriority w:val="99"/>
    <w:rsid w:val="005C5C81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B2A4F"/>
  </w:style>
  <w:style w:type="character" w:customStyle="1" w:styleId="c1">
    <w:name w:val="c1"/>
    <w:basedOn w:val="DefaultParagraphFont"/>
    <w:uiPriority w:val="99"/>
    <w:rsid w:val="001B4EEE"/>
  </w:style>
  <w:style w:type="paragraph" w:customStyle="1" w:styleId="c4">
    <w:name w:val="c4"/>
    <w:basedOn w:val="Normal"/>
    <w:uiPriority w:val="99"/>
    <w:rsid w:val="001B4EEE"/>
    <w:pPr>
      <w:spacing w:before="100" w:beforeAutospacing="1" w:after="100" w:afterAutospacing="1"/>
    </w:pPr>
  </w:style>
  <w:style w:type="paragraph" w:customStyle="1" w:styleId="c7">
    <w:name w:val="c7"/>
    <w:basedOn w:val="Normal"/>
    <w:uiPriority w:val="99"/>
    <w:rsid w:val="001B4EEE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1B4EEE"/>
  </w:style>
  <w:style w:type="character" w:styleId="Strong">
    <w:name w:val="Strong"/>
    <w:basedOn w:val="DefaultParagraphFont"/>
    <w:uiPriority w:val="99"/>
    <w:qFormat/>
    <w:rsid w:val="001B4EEE"/>
    <w:rPr>
      <w:b/>
      <w:bCs/>
    </w:rPr>
  </w:style>
  <w:style w:type="character" w:customStyle="1" w:styleId="HeaderChar1">
    <w:name w:val="Header Char1"/>
    <w:link w:val="Header"/>
    <w:uiPriority w:val="99"/>
    <w:locked/>
    <w:rsid w:val="00B6428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5D98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6A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13F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6A4503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B10846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B10846"/>
  </w:style>
  <w:style w:type="character" w:customStyle="1" w:styleId="c5">
    <w:name w:val="c5"/>
    <w:basedOn w:val="DefaultParagraphFont"/>
    <w:uiPriority w:val="99"/>
    <w:rsid w:val="00B10846"/>
  </w:style>
  <w:style w:type="paragraph" w:customStyle="1" w:styleId="c10">
    <w:name w:val="c10"/>
    <w:basedOn w:val="Normal"/>
    <w:uiPriority w:val="99"/>
    <w:rsid w:val="00B10846"/>
    <w:pPr>
      <w:spacing w:before="100" w:beforeAutospacing="1" w:after="100" w:afterAutospacing="1"/>
    </w:pPr>
  </w:style>
  <w:style w:type="paragraph" w:customStyle="1" w:styleId="c13">
    <w:name w:val="c13"/>
    <w:basedOn w:val="Normal"/>
    <w:uiPriority w:val="99"/>
    <w:rsid w:val="00B10846"/>
    <w:pPr>
      <w:spacing w:before="100" w:beforeAutospacing="1" w:after="100" w:afterAutospacing="1"/>
    </w:pPr>
  </w:style>
  <w:style w:type="paragraph" w:customStyle="1" w:styleId="c15">
    <w:name w:val="c15"/>
    <w:basedOn w:val="Normal"/>
    <w:uiPriority w:val="99"/>
    <w:rsid w:val="00B10846"/>
    <w:pPr>
      <w:spacing w:before="100" w:beforeAutospacing="1" w:after="100" w:afterAutospacing="1"/>
    </w:pPr>
  </w:style>
  <w:style w:type="paragraph" w:customStyle="1" w:styleId="c16">
    <w:name w:val="c16"/>
    <w:basedOn w:val="Normal"/>
    <w:uiPriority w:val="99"/>
    <w:rsid w:val="00B10846"/>
    <w:pPr>
      <w:spacing w:before="100" w:beforeAutospacing="1" w:after="100" w:afterAutospacing="1"/>
    </w:pPr>
  </w:style>
  <w:style w:type="paragraph" w:customStyle="1" w:styleId="c17">
    <w:name w:val="c17"/>
    <w:basedOn w:val="Normal"/>
    <w:uiPriority w:val="99"/>
    <w:rsid w:val="00B10846"/>
    <w:pPr>
      <w:spacing w:before="100" w:beforeAutospacing="1" w:after="100" w:afterAutospacing="1"/>
    </w:pPr>
  </w:style>
  <w:style w:type="paragraph" w:styleId="List">
    <w:name w:val="List"/>
    <w:basedOn w:val="BodyText"/>
    <w:uiPriority w:val="99"/>
    <w:rsid w:val="00C12E14"/>
    <w:pPr>
      <w:widowControl w:val="0"/>
      <w:suppressAutoHyphens/>
    </w:pPr>
    <w:rPr>
      <w:kern w:val="1"/>
    </w:rPr>
  </w:style>
  <w:style w:type="paragraph" w:styleId="BodyText">
    <w:name w:val="Body Text"/>
    <w:basedOn w:val="Normal"/>
    <w:link w:val="BodyTextChar"/>
    <w:uiPriority w:val="99"/>
    <w:rsid w:val="00C12E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13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D28C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D2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413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4D28C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D28C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C413F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4D28C8"/>
    <w:rPr>
      <w:b/>
      <w:bCs/>
    </w:rPr>
  </w:style>
  <w:style w:type="character" w:customStyle="1" w:styleId="Heading3Char1">
    <w:name w:val="Heading 3 Char1"/>
    <w:link w:val="Heading3"/>
    <w:uiPriority w:val="99"/>
    <w:locked/>
    <w:rsid w:val="00D96C97"/>
    <w:rPr>
      <w:rFonts w:eastAsia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965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upacijaszaudejumi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upacijaszaudejumi.lv" TargetMode="External"/><Relationship Id="rId12" Type="http://schemas.openxmlformats.org/officeDocument/2006/relationships/hyperlink" Target="http://www.okupacijaszaudejumi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ikadopedija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rikadoped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ikadopedij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4145</Words>
  <Characters>2364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</dc:title>
  <dc:subject/>
  <dc:creator>Microsoft</dc:creator>
  <cp:keywords/>
  <dc:description/>
  <cp:lastModifiedBy>Microsoft</cp:lastModifiedBy>
  <cp:revision>13</cp:revision>
  <cp:lastPrinted>2018-10-23T11:08:00Z</cp:lastPrinted>
  <dcterms:created xsi:type="dcterms:W3CDTF">2019-04-26T10:32:00Z</dcterms:created>
  <dcterms:modified xsi:type="dcterms:W3CDTF">2019-11-13T02:25:00Z</dcterms:modified>
</cp:coreProperties>
</file>